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Stem: </w:t>
      </w:r>
      <w:r>
        <w:rPr/>
        <w:t xml:space="preserve"> (40-)55-85(-100) cm long;  conspicuous. </w:t>
      </w:r>
      <w:br/>
      <w:r>
        <w:rPr>
          <w:b w:val="1"/>
          <w:bCs w:val="1"/>
        </w:rPr>
        <w:t xml:space="preserve">Leaf: </w:t>
      </w:r>
      <w:r>
        <w:rPr/>
        <w:t xml:space="preserve"> Sheath summit  red brown; usually U shaped  or gutter-shape. </w:t>
      </w:r>
      <w:br/>
      <w:r>
        <w:rPr>
          <w:b w:val="1"/>
          <w:bCs w:val="1"/>
        </w:rPr>
        <w:t xml:space="preserve">Inflorescence unit: </w:t>
      </w:r>
      <w:r>
        <w:rPr/>
        <w:t xml:space="preserve"> Inflorescence units (5-)6.25-8.75(-10);  lanceoloid. 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2021-12-27T11:41:40-08:00</dcterms:created>
  <dcterms:modified xsi:type="dcterms:W3CDTF">2021-12-27T11:41:40-08:00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