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Lib-Char-Certi — User Guide (v1.0)</w:t>
      </w:r>
    </w:p>
    <w:p>
      <w:r>
        <w:t xml:space="preserve">A desktop tool for </w:t>
      </w:r>
      <w:r>
        <w:rPr>
          <w:b/>
        </w:rPr>
        <w:t xml:space="preserve">certifying a characterized standard-cell library</w:t>
      </w:r>
      <w:r>
        <w:t xml:space="preserve"> against Monte-Carlo / FMC reference data. It computes pass-rate (PR) tables, flags sub-threshold corners, and lets two parties (the library team and the EDA vendor) </w:t>
      </w:r>
      <w:r>
        <w:rPr>
          <w:b/>
        </w:rPr>
        <w:t xml:space="preserve">drill into any failing point down to the source `.lib` cell and FMC input row</w:t>
      </w:r>
      <w:r>
        <w:t xml:space="preserve"> — so an outlier can be cross-checked, not just counted.</w:t>
      </w:r>
    </w:p>
    <w:p>
      <w:r>
        <w:t xml:space="preserve">This guide walks the whole flow on real inputs, from Setup through the outlier cross-check.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Table of contents</w:t>
      </w:r>
    </w:p>
    <w:p>
      <w:pPr>
        <w:numPr>
          <w:ilvl w:val="0"/>
          <w:numId w:val="2"/>
        </w:numPr>
      </w:pPr>
      <w:r>
        <w:t xml:space="preserve">Requirements</w:t>
      </w:r>
    </w:p>
    <w:p>
      <w:pPr>
        <w:numPr>
          <w:ilvl w:val="0"/>
          <w:numId w:val="2"/>
        </w:numPr>
      </w:pPr>
      <w:r>
        <w:t xml:space="preserve">Install</w:t>
      </w:r>
    </w:p>
    <w:p>
      <w:pPr>
        <w:numPr>
          <w:ilvl w:val="0"/>
          <w:numId w:val="2"/>
        </w:numPr>
      </w:pPr>
      <w:r>
        <w:t xml:space="preserve">Prepare your input folder</w:t>
      </w:r>
    </w:p>
    <w:p>
      <w:pPr>
        <w:numPr>
          <w:ilvl w:val="0"/>
          <w:numId w:val="2"/>
        </w:numPr>
      </w:pPr>
      <w:r>
        <w:t xml:space="preserve">Launch</w:t>
      </w:r>
    </w:p>
    <w:p>
      <w:pPr>
        <w:numPr>
          <w:ilvl w:val="0"/>
          <w:numId w:val="2"/>
        </w:numPr>
      </w:pPr>
      <w:r>
        <w:t xml:space="preserve">The tabs at a glance</w:t>
      </w:r>
    </w:p>
    <w:p>
      <w:pPr>
        <w:numPr>
          <w:ilvl w:val="0"/>
          <w:numId w:val="2"/>
        </w:numPr>
      </w:pPr>
      <w:r>
        <w:t xml:space="preserve">Step-by-step: certifying your library</w:t>
      </w:r>
    </w:p>
    <w:p>
      <w:pPr>
        <w:numPr>
          <w:ilvl w:val="0"/>
          <w:numId w:val="2"/>
        </w:numPr>
      </w:pPr>
      <w:r>
        <w:t xml:space="preserve">Waivers — terminology</w:t>
      </w:r>
    </w:p>
    <w:p>
      <w:pPr>
        <w:numPr>
          <w:ilvl w:val="0"/>
          <w:numId w:val="2"/>
        </w:numPr>
      </w:pPr>
      <w:r>
        <w:t xml:space="preserve">Troubleshooting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1. Requirements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Requirement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Python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3.9 or newer</w:t>
            </w:r>
            <w:r>
              <w:t xml:space="preserve"> (developed/tested on 3.9–3.11). The repo pins </w:t>
            </w:r>
            <w:r>
              <w:rPr>
                <w:rFonts w:ascii="Consolas" w:hAnsi="Consolas"/>
                <w:shd w:val="clear" w:fill="F2F2F2"/>
              </w:rPr>
              <w:t xml:space="preserve">requires-python = "&gt;=3.9"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Tkinter</w:t>
            </w:r>
          </w:p>
        </w:tc>
        <w:tc>
          <w:tcPr>
            <w:tcW w:w="0" w:type="auto"/>
          </w:tcPr>
          <w:p>
            <w:r>
              <w:t xml:space="preserve">Required for the desktop console. It ships with most CPython builds; most EDA host Pythons already have it. Verify with </w:t>
            </w:r>
            <w:r>
              <w:rPr>
                <w:rFonts w:ascii="Consolas" w:hAnsi="Consolas"/>
                <w:shd w:val="clear" w:fill="F2F2F2"/>
              </w:rPr>
              <w:t xml:space="preserve">python -c "import tkinter"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pandas / numpy</w:t>
            </w:r>
          </w:p>
        </w:tc>
        <w:tc>
          <w:tcPr>
            <w:tcW w:w="0" w:type="auto"/>
          </w:tcPr>
          <w:p>
            <w:r>
              <w:t xml:space="preserve">Required for real certification runs (parsing FMC data and computing PR).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matplotlib</w:t>
            </w:r>
          </w:p>
        </w:tc>
        <w:tc>
          <w:tcPr>
            <w:tcW w:w="0" w:type="auto"/>
          </w:tcPr>
          <w:p>
            <w:r>
              <w:t xml:space="preserve">*Optional* — enriches the outlier scatter. Without it the GUI falls back to a built-in Canvas plot.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EDA `ldbx`</w:t>
            </w:r>
          </w:p>
        </w:tc>
        <w:tc>
          <w:tcPr>
            <w:tcW w:w="0" w:type="auto"/>
          </w:tcPr>
          <w:p>
            <w:r>
              <w:t xml:space="preserve">Required only for the </w:t>
            </w:r>
            <w:r>
              <w:rPr>
                <w:b/>
              </w:rPr>
              <w:t xml:space="preserve">lib-join / combine</w:t>
            </w:r>
            <w:r>
              <w:t xml:space="preserve"> step against real </w:t>
            </w:r>
            <w:r>
              <w:rPr>
                <w:rFonts w:ascii="Consolas" w:hAnsi="Consolas"/>
                <w:shd w:val="clear" w:fill="F2F2F2"/>
              </w:rPr>
              <w:t xml:space="preserve">.lib</w:t>
            </w:r>
            <w:r>
              <w:t xml:space="preserve"> decks. It is provided by your EDA environment and is </w:t>
            </w:r>
            <w:r>
              <w:rPr>
                <w:b/>
              </w:rPr>
              <w:t xml:space="preserve">not</w:t>
            </w:r>
            <w:r>
              <w:t xml:space="preserve"> installable from PyPI.</w:t>
            </w:r>
          </w:p>
        </w:tc>
      </w:tr>
    </w:tbl>
    <w:p/>
    <w:p>
      <w:r>
        <w:t xml:space="preserve">Check your Python version before anything else: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python --version        # must print 3.9.x or newer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python -c "import tkinter; print('tkinter ok')"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2. Install</w:t>
      </w:r>
    </w:p>
    <w:p>
      <w:r>
        <w:t xml:space="preserve">From the repository root: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# Core install (editable):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pip install -e .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 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# With the optional scatter plotting extra: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pip install -e ".[plots]"      # or simply: pip install matplotlib</w:t>
      </w:r>
    </w:p>
    <w:p>
      <w:pPr>
        <w:pBdr>
          <w:left w:val="single" w:sz="18" w:space="8" w:color="BBBBBB"/>
        </w:pBdr>
        <w:ind w:left="240"/>
      </w:pPr>
      <w:r>
        <w:t xml:space="preserve">On EDA hosts without PyPI access, use the interpreter your flow already provides (it normally has pandas/numpy/Tkinter and the </w:t>
      </w:r>
      <w:r>
        <w:rPr>
          <w:rFonts w:ascii="Consolas" w:hAnsi="Consolas"/>
          <w:shd w:val="clear" w:fill="F2F2F2"/>
        </w:rPr>
        <w:t xml:space="preserve">ldbx</w:t>
      </w:r>
      <w:r>
        <w:t xml:space="preserve"> module). You do not need to reinstall those.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3. Prepare your input folder</w:t>
      </w:r>
    </w:p>
    <w:p>
      <w:r>
        <w:t xml:space="preserve">Put your real inputs under the </w:t>
      </w:r>
      <w:r>
        <w:rPr>
          <w:rFonts w:ascii="Consolas" w:hAnsi="Consolas"/>
          <w:shd w:val="clear" w:fill="F2F2F2"/>
        </w:rPr>
        <w:t xml:space="preserve">input/</w:t>
      </w:r>
      <w:r>
        <w:t xml:space="preserve"> folder at the repo root (create it if it doesn't exist). The tool never modifies your inputs — it only reads them and writes results under </w:t>
      </w:r>
      <w:r>
        <w:rPr>
          <w:rFonts w:ascii="Consolas" w:hAnsi="Consolas"/>
          <w:shd w:val="clear" w:fill="F2F2F2"/>
        </w:rPr>
        <w:t xml:space="preserve">./certi_runs</w:t>
      </w:r>
      <w:r>
        <w:t xml:space="preserve">.</w:t>
      </w:r>
    </w:p>
    <w:p>
      <w:r>
        <w:t xml:space="preserve">A typical layout: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input/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├── fmc/        # FMC reference data — decks to parse, or pre-parsed DFDS / SCLD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└── lib/        # the characterized .lib files to certify</w:t>
      </w:r>
    </w:p>
    <w:p>
      <w:r>
        <w:t xml:space="preserve">You point the tool at these two directories from the </w:t>
      </w:r>
      <w:r>
        <w:rPr>
          <w:b/>
        </w:rPr>
        <w:t xml:space="preserve">Setup</w:t>
      </w:r>
      <w:r>
        <w:t xml:space="preserve"> tab (the </w:t>
      </w:r>
      <w:r>
        <w:rPr>
          <w:b/>
        </w:rPr>
        <w:t xml:space="preserve">FMC dir</w:t>
      </w:r>
      <w:r>
        <w:t xml:space="preserve"> and </w:t>
      </w:r>
      <w:r>
        <w:rPr>
          <w:b/>
        </w:rPr>
        <w:t xml:space="preserve">Lib dir</w:t>
      </w:r>
      <w:r>
        <w:t xml:space="preserve"> browse buttons). The folder names above are only a suggestion — any path works, as long as you browse to it in Setup.</w:t>
      </w:r>
    </w:p>
    <w:p>
      <w:r>
        <w:t xml:space="preserve">The </w:t>
      </w:r>
      <w:r>
        <w:rPr>
          <w:b/>
        </w:rPr>
        <w:t xml:space="preserve">FMC input mode</w:t>
      </w:r>
      <w:r>
        <w:t xml:space="preserve"> you pick in Setup decides what the </w:t>
      </w:r>
      <w:r>
        <w:rPr>
          <w:b/>
        </w:rPr>
        <w:t xml:space="preserve">FMC dir</w:t>
      </w:r>
      <w:r>
        <w:t xml:space="preserve"> should contain: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FMC input mode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What `input/fmc/` should hold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Decks (parse)</w:t>
            </w:r>
          </w:p>
        </w:tc>
        <w:tc>
          <w:tcPr>
            <w:tcW w:w="0" w:type="auto"/>
          </w:tcPr>
          <w:p>
            <w:r>
              <w:t xml:space="preserve">raw FMC decks; the tool parses them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Parsed DFDS</w:t>
            </w:r>
          </w:p>
        </w:tc>
        <w:tc>
          <w:tcPr>
            <w:tcW w:w="0" w:type="auto"/>
          </w:tcPr>
          <w:p>
            <w:r>
              <w:t xml:space="preserve">already-parsed DFDS output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Parsed SCLD</w:t>
            </w:r>
          </w:p>
        </w:tc>
        <w:tc>
          <w:tcPr>
            <w:tcW w:w="0" w:type="auto"/>
          </w:tcPr>
          <w:p>
            <w:r>
              <w:t xml:space="preserve">already-parsed SCLD golden data (note: SCLD golden is in </w:t>
            </w:r>
            <w:r>
              <w:rPr>
                <w:rFonts w:ascii="Consolas" w:hAnsi="Consolas"/>
                <w:shd w:val="clear" w:fill="F2F2F2"/>
              </w:rPr>
              <w:t xml:space="preserve">ns</w:t>
            </w:r>
            <w:r>
              <w:t xml:space="preserve">)</w:t>
            </w:r>
          </w:p>
        </w:tc>
      </w:tr>
    </w:tbl>
    <w:p/>
    <w:p>
      <w:r>
        <w:t xml:space="preserve">See </w:t>
      </w:r>
      <w:r>
        <w:rPr>
          <w:rFonts w:ascii="Consolas" w:hAnsi="Consolas"/>
          <w:shd w:val="clear" w:fill="F2F2F2"/>
        </w:rPr>
        <w:t xml:space="preserve">input/README.md</w:t>
      </w:r>
      <w:r>
        <w:t xml:space="preserve"> for the same notes next to the data.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4. Launch</w:t>
      </w:r>
    </w:p>
    <w:p>
      <w:r>
        <w:t xml:space="preserve">The tool is a single Tkinter process — no server, no port. It displays over X11 / Exceed like a terminal.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# From the repo root, on a host whose Python has Tkinter: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python -m cert_data_process.app                 # reads ./certi_runs</w:t>
      </w:r>
    </w:p>
    <w:p>
      <w:pPr>
        <w:shd w:val="clear" w:fill="F4F4F4"/>
      </w:pPr>
      <w:r>
        <w:rPr>
          <w:rFonts w:ascii="Consolas" w:hAnsi="Consolas"/>
          <w:shd w:val="clear" w:fill="F4F4F4"/>
        </w:rPr>
        <w:t xml:space="preserve">python -m cert_data_process.app --runs-dir /path/to/runs   # custom runs root</w:t>
      </w:r>
    </w:p>
    <w:p>
      <w:r>
        <w:t xml:space="preserve">If you see </w:t>
      </w:r>
      <w:r>
        <w:rPr>
          <w:rFonts w:ascii="Consolas" w:hAnsi="Consolas"/>
          <w:shd w:val="clear" w:fill="F2F2F2"/>
        </w:rPr>
        <w:t xml:space="preserve">ERROR: this Python has no Tkinter</w:t>
      </w:r>
      <w:r>
        <w:t xml:space="preserve">, select a Python built with Tk (most EDA host Pythons have it; a stock </w:t>
      </w:r>
      <w:r>
        <w:rPr>
          <w:rFonts w:ascii="Consolas" w:hAnsi="Consolas"/>
          <w:shd w:val="clear" w:fill="F2F2F2"/>
        </w:rPr>
        <w:t xml:space="preserve">python3</w:t>
      </w:r>
      <w:r>
        <w:t xml:space="preserve"> usually works).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5. The tabs at a glance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Tab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What it answers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Setup</w:t>
            </w:r>
          </w:p>
        </w:tc>
        <w:tc>
          <w:tcPr>
            <w:tcW w:w="0" w:type="auto"/>
          </w:tcPr>
          <w:p>
            <w:r>
              <w:t xml:space="preserve">What library / corners / FMC am I certifying? → </w:t>
            </w:r>
            <w:r>
              <w:rPr>
                <w:b/>
              </w:rPr>
              <w:t xml:space="preserve">Run certification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Pipeline</w:t>
            </w:r>
          </w:p>
        </w:tc>
        <w:tc>
          <w:tcPr>
            <w:tcW w:w="0" w:type="auto"/>
          </w:tcPr>
          <w:p>
            <w:r>
              <w:t xml:space="preserve">Is the run progressing? Any per-stage audit findings?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Results</w:t>
            </w:r>
          </w:p>
        </w:tc>
        <w:tc>
          <w:tcPr>
            <w:tcW w:w="0" w:type="auto"/>
          </w:tcPr>
          <w:p>
            <w:r>
              <w:t xml:space="preserve">For the loaded batch: does each timing type PASS (≥95%)?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 Status</w:t>
            </w:r>
          </w:p>
        </w:tc>
        <w:tc>
          <w:tcPr>
            <w:tcW w:w="0" w:type="auto"/>
          </w:tcPr>
          <w:p>
            <w:r>
              <w:t xml:space="preserve">Consolidated PR pivot across all (or selected) batches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Outliers</w:t>
            </w:r>
          </w:p>
        </w:tc>
        <w:tc>
          <w:tcPr>
            <w:tcW w:w="0" w:type="auto"/>
          </w:tcPr>
          <w:p>
            <w:r>
              <w:t xml:space="preserve">Which (metric, corner) points are sub-95%, and how do they fail?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Common</w:t>
            </w:r>
          </w:p>
        </w:tc>
        <w:tc>
          <w:tcPr>
            <w:tcW w:w="0" w:type="auto"/>
          </w:tcPr>
          <w:p>
            <w:r>
              <w:t xml:space="preserve">Which cells/arcs fail across *multiple* corners or batches?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History</w:t>
            </w:r>
          </w:p>
        </w:tc>
        <w:tc>
          <w:tcPr>
            <w:tcW w:w="0" w:type="auto"/>
          </w:tcPr>
          <w:p>
            <w:r>
              <w:t xml:space="preserve">All past runs; select/▢-check batches to scope the other tabs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Compare</w:t>
            </w:r>
          </w:p>
        </w:tc>
        <w:tc>
          <w:tcPr>
            <w:tcW w:w="0" w:type="auto"/>
          </w:tcPr>
          <w:p>
            <w:r>
              <w:t xml:space="preserve">Diff metrics across batches</w:t>
            </w:r>
          </w:p>
        </w:tc>
      </w:tr>
    </w:tbl>
    <w:p/>
    <w:p>
      <w:pPr>
        <w:pBdr>
          <w:left w:val="single" w:sz="18" w:space="8" w:color="BBBBBB"/>
        </w:pBdr>
        <w:ind w:left="240"/>
      </w:pPr>
      <w:r>
        <w:t xml:space="preserve">The </w:t>
      </w:r>
      <w:r>
        <w:rPr>
          <w:b/>
        </w:rPr>
        <w:t xml:space="preserve">Analysis (Voltage Margin)</w:t>
      </w:r>
      <w:r>
        <w:t xml:space="preserve"> tab is intentionally hidden in v1.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6. Step-by-step: certifying your library</w:t>
      </w:r>
    </w:p>
    <w:p>
      <w:pPr>
        <w:pStyle w:val="Heading3"/>
      </w:pPr>
      <w:r>
        <w:t xml:space="preserve">6.1 Setup — describe and launch the run</w:t>
      </w:r>
    </w:p>
    <w:p>
      <w:r>
        <w:t xml:space="preserve">Open the </w:t>
      </w:r>
      <w:r>
        <w:rPr>
          <w:b/>
        </w:rPr>
        <w:t xml:space="preserve">Setup</w:t>
      </w:r>
      <w:r>
        <w:t xml:space="preserve"> tab and fill in: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Vendor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cdns</w:t>
            </w:r>
            <w:r>
              <w:t xml:space="preserve"> or </w:t>
            </w:r>
            <w:r>
              <w:rPr>
                <w:rFonts w:ascii="Consolas" w:hAnsi="Consolas"/>
                <w:shd w:val="clear" w:fill="F2F2F2"/>
              </w:rPr>
              <w:t xml:space="preserve">snps</w:t>
            </w:r>
            <w:r>
              <w:t xml:space="preserve"> (sets the default lib unit)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Process / version</w:t>
            </w:r>
          </w:p>
        </w:tc>
        <w:tc>
          <w:tcPr>
            <w:tcW w:w="0" w:type="auto"/>
          </w:tcPr>
          <w:p>
            <w:r>
              <w:t xml:space="preserve">e.g. </w:t>
            </w:r>
            <w:r>
              <w:rPr>
                <w:rFonts w:ascii="Consolas" w:hAnsi="Consolas"/>
                <w:shd w:val="clear" w:fill="F2F2F2"/>
              </w:rPr>
              <w:t xml:space="preserve">n2p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v1p0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Corners</w:t>
            </w:r>
          </w:p>
        </w:tc>
        <w:tc>
          <w:tcPr>
            <w:tcW w:w="0" w:type="auto"/>
          </w:tcPr>
          <w:p>
            <w:r>
              <w:t xml:space="preserve">add each corner; or pull from History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Timing types</w:t>
            </w:r>
          </w:p>
        </w:tc>
        <w:tc>
          <w:tcPr>
            <w:tcW w:w="0" w:type="auto"/>
          </w:tcPr>
          <w:p>
            <w:r>
              <w:t xml:space="preserve">delay / slew / hold / mpw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VT / RC type, Library type</w:t>
            </w:r>
          </w:p>
        </w:tc>
        <w:tc>
          <w:tcPr>
            <w:tcW w:w="0" w:type="auto"/>
          </w:tcPr>
          <w:p>
            <w:r>
              <w:t xml:space="preserve">metadata for the run record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FMC unit / Lib unit</w:t>
            </w:r>
          </w:p>
        </w:tc>
        <w:tc>
          <w:tcPr>
            <w:tcW w:w="0" w:type="auto"/>
          </w:tcPr>
          <w:p>
            <w:r>
              <w:t xml:space="preserve">inputs are converted to ps internally; defaults track vendor/format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abs_tol ps (hold)</w:t>
            </w:r>
          </w:p>
        </w:tc>
        <w:tc>
          <w:tcPr>
            <w:tcW w:w="0" w:type="auto"/>
          </w:tcPr>
          <w:p>
            <w:r>
              <w:t xml:space="preserve">Waiver_2. One value for all corners, or </w:t>
            </w:r>
            <w:r>
              <w:rPr>
                <w:rFonts w:ascii="Consolas" w:hAnsi="Consolas"/>
                <w:shd w:val="clear" w:fill="F2F2F2"/>
              </w:rPr>
              <w:t xml:space="preserve">c1=19.5, c2=20</w:t>
            </w:r>
            <w:r>
              <w:t xml:space="preserve">. </w:t>
            </w:r>
            <w:r>
              <w:rPr>
                <w:b/>
              </w:rPr>
              <w:t xml:space="preserve">Blank = off.</w:t>
            </w:r>
            <w:r>
              <w:t xml:space="preserve"> If you type something unparseable, the tool *warns* instead of silently disabling W2.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FMC input</w:t>
            </w:r>
          </w:p>
        </w:tc>
        <w:tc>
          <w:tcPr>
            <w:tcW w:w="0" w:type="auto"/>
          </w:tcPr>
          <w:p>
            <w:r>
              <w:t xml:space="preserve">Decks (parse) / Parsed DFDS / Parsed SCLD — the FMC-dir label updates to match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FMC dir / Lib dir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Browse</w:t>
            </w:r>
            <w:r>
              <w:t xml:space="preserve"> to your </w:t>
            </w:r>
            <w:r>
              <w:rPr>
                <w:rFonts w:ascii="Consolas" w:hAnsi="Consolas"/>
                <w:shd w:val="clear" w:fill="F2F2F2"/>
              </w:rPr>
              <w:t xml:space="preserve">input/fmc</w:t>
            </w:r>
            <w:r>
              <w:t xml:space="preserve"> and </w:t>
            </w:r>
            <w:r>
              <w:rPr>
                <w:rFonts w:ascii="Consolas" w:hAnsi="Consolas"/>
                <w:shd w:val="clear" w:fill="F2F2F2"/>
              </w:rPr>
              <w:t xml:space="preserve">input/lib</w:t>
            </w:r>
            <w:r>
              <w:t xml:space="preserve"> directories</w:t>
            </w:r>
          </w:p>
        </w:tc>
      </w:tr>
    </w:tbl>
    <w:p/>
    <w:p>
      <w:r>
        <w:t xml:space="preserve">Click </w:t>
      </w:r>
      <w:r>
        <w:rPr>
          <w:b/>
        </w:rPr>
        <w:t xml:space="preserve">▶ Run certification</w:t>
      </w:r>
      <w:r>
        <w:t xml:space="preserve">. Moments (meanshift / std / skew) are derived from the FMC data — no separate Full-MC run is needed.</w:t>
      </w:r>
    </w:p>
    <w:p>
      <w:r>
        <w:drawing>
          <wp:inline distT="0" distB="0" distL="0" distR="0">
            <wp:extent cx="5486400" cy="3086100"/>
            <wp:docPr id="1" name="Picture 1" descr="Setup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6.2 Pipeline — watch the run progress</w:t>
      </w:r>
    </w:p>
    <w:p>
      <w:r>
        <w:t xml:space="preserve">The </w:t>
      </w:r>
      <w:r>
        <w:rPr>
          <w:b/>
        </w:rPr>
        <w:t xml:space="preserve">Pipeline</w:t>
      </w:r>
      <w:r>
        <w:t xml:space="preserve"> tab streams each stage as it runs and surfaces any per-stage audit findings. Wait for the run to finish; results then land in </w:t>
      </w:r>
      <w:r>
        <w:rPr>
          <w:b/>
        </w:rPr>
        <w:t xml:space="preserve">Results</w:t>
      </w:r>
      <w:r>
        <w:t xml:space="preserve">.</w:t>
      </w:r>
    </w:p>
    <w:p>
      <w:r>
        <w:drawing>
          <wp:inline distT="0" distB="0" distL="0" distR="0">
            <wp:extent cx="5486400" cy="3086100"/>
            <wp:docPr id="2" name="Picture 2" descr="Pipeline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6.3 Results — the verdict, and how waivers move it</w:t>
      </w:r>
    </w:p>
    <w:p>
      <w:r>
        <w:t xml:space="preserve">The </w:t>
      </w:r>
      <w:r>
        <w:rPr>
          <w:b/>
        </w:rPr>
        <w:t xml:space="preserve">Results</w:t>
      </w:r>
      <w:r>
        <w:t xml:space="preserve"> tab groups PR by timing type (delay / slew / hold). Cells are green ≥95%, amber 90–95%, red &lt;95%. Toggle the </w:t>
      </w:r>
      <w:r>
        <w:rPr>
          <w:b/>
        </w:rPr>
        <w:t xml:space="preserve">basis</w:t>
      </w:r>
      <w:r>
        <w:t xml:space="preserve"> radios at the top to see how each waiver changes the verdict: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Basis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Base</w:t>
            </w:r>
          </w:p>
        </w:tc>
        <w:tc>
          <w:tcPr>
            <w:tcW w:w="0" w:type="auto"/>
          </w:tcPr>
          <w:p>
            <w:r>
              <w:t xml:space="preserve">raw pass rate, no waivers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+Waiver1</w:t>
            </w:r>
            <w:r>
              <w:t xml:space="preserve"> (CI +6%)</w:t>
            </w:r>
          </w:p>
        </w:tc>
        <w:tc>
          <w:tcPr>
            <w:tcW w:w="0" w:type="auto"/>
          </w:tcPr>
          <w:p>
            <w:r>
              <w:t xml:space="preserve">CI bounds enlarged 6%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+Waiver2</w:t>
            </w:r>
            <w:r>
              <w:t xml:space="preserve"> (abs_tol)</w:t>
            </w:r>
          </w:p>
        </w:tc>
        <w:tc>
          <w:tcPr>
            <w:tcW w:w="0" w:type="auto"/>
          </w:tcPr>
          <w:p>
            <w:r>
              <w:t xml:space="preserve">your supplied </w:t>
            </w:r>
            <w:r>
              <w:rPr>
                <w:rFonts w:ascii="Consolas" w:hAnsi="Consolas"/>
                <w:shd w:val="clear" w:fill="F2F2F2"/>
              </w:rPr>
              <w:t xml:space="preserve">abs_tol</w:t>
            </w:r>
            <w:r>
              <w:t xml:space="preserve"> (ps), hold Late_Sigma only, stacked on Base+W1</w:t>
            </w:r>
          </w:p>
        </w:tc>
      </w:tr>
    </w:tbl>
    <w:p/>
    <w:p>
      <w:r>
        <w:t xml:space="preserve">This is the core story: a library that fails raw can certify once the agreed waivers are applied — and the tool shows exactly which arcs each waiver rescued.</w:t>
      </w:r>
    </w:p>
    <w:p>
      <w:r>
        <w:drawing>
          <wp:inline distT="0" distB="0" distL="0" distR="0">
            <wp:extent cx="5486400" cy="3086100"/>
            <wp:docPr id="3" name="Picture 3" descr="Result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6.4 PR Status — consolidated pivot</w:t>
      </w:r>
    </w:p>
    <w:p>
      <w:r>
        <w:rPr>
          <w:b/>
        </w:rPr>
        <w:t xml:space="preserve">PR Status → Build.</w:t>
      </w:r>
      <w:r>
        <w:t xml:space="preserve"> Rows are data-types (</w:t>
      </w:r>
      <w:r>
        <w:rPr>
          <w:rFonts w:ascii="Consolas" w:hAnsi="Consolas"/>
          <w:shd w:val="clear" w:fill="F2F2F2"/>
        </w:rPr>
        <w:t xml:space="preserve">ocv_const_hold</w:t>
      </w:r>
      <w:r>
        <w:t xml:space="preserve">, </w:t>
      </w:r>
      <w:r>
        <w:rPr>
          <w:rFonts w:ascii="Consolas" w:hAnsi="Consolas"/>
          <w:shd w:val="clear" w:fill="F2F2F2"/>
        </w:rPr>
        <w:t xml:space="preserve">ocv_delay_late</w:t>
      </w:r>
      <w:r>
        <w:t xml:space="preserve">, …); columns are each batch × corner. Switch basis to see waivers applied across every corner at once.</w:t>
      </w:r>
    </w:p>
    <w:p>
      <w:r>
        <w:drawing>
          <wp:inline distT="0" distB="0" distL="0" distR="0">
            <wp:extent cx="5486400" cy="3086100"/>
            <wp:docPr id="4" name="Picture 4" descr="PR Statu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6.5 Outliers — what's actually failing</w:t>
      </w:r>
    </w:p>
    <w:p>
      <w:r>
        <w:rPr>
          <w:b/>
        </w:rPr>
        <w:t xml:space="preserve">Outliers → Build</w:t>
      </w:r>
      <w:r>
        <w:t xml:space="preserve"> (try the </w:t>
      </w:r>
      <w:r>
        <w:rPr>
          <w:b/>
        </w:rPr>
        <w:t xml:space="preserve">Base</w:t>
      </w:r>
      <w:r>
        <w:t xml:space="preserve"> basis to see the most points). Each row is a sub-95% (metric, corner) with its failure breakdown: </w:t>
      </w:r>
      <w:r>
        <w:rPr>
          <w:rFonts w:ascii="Consolas" w:hAnsi="Consolas"/>
          <w:shd w:val="clear" w:fill="F2F2F2"/>
        </w:rPr>
        <w:t xml:space="preserve">#cells</w:t>
      </w:r>
      <w:r>
        <w:t xml:space="preserve">, </w:t>
      </w:r>
      <w:r>
        <w:rPr>
          <w:rFonts w:ascii="Consolas" w:hAnsi="Consolas"/>
          <w:shd w:val="clear" w:fill="F2F2F2"/>
        </w:rPr>
        <w:t xml:space="preserve">#opt</w:t>
      </w:r>
      <w:r>
        <w:t xml:space="preserve"> (optimistic = Lib&lt;MC, i.e. the library claims *better* than silicon), </w:t>
      </w:r>
      <w:r>
        <w:rPr>
          <w:rFonts w:ascii="Consolas" w:hAnsi="Consolas"/>
          <w:shd w:val="clear" w:fill="F2F2F2"/>
        </w:rPr>
        <w:t xml:space="preserve">#pess</w:t>
      </w:r>
      <w:r>
        <w:t xml:space="preserve">, polarity, and worst error.</w:t>
      </w:r>
    </w:p>
    <w:p>
      <w:pPr>
        <w:pBdr>
          <w:left w:val="single" w:sz="18" w:space="8" w:color="BBBBBB"/>
        </w:pBdr>
        <w:ind w:left="240"/>
      </w:pPr>
      <w:r>
        <w:t xml:space="preserve">A </w:t>
      </w:r>
      <w:r>
        <w:rPr>
          <w:rFonts w:ascii="Consolas" w:hAnsi="Consolas"/>
          <w:shd w:val="clear" w:fill="F2F2F2"/>
        </w:rPr>
        <w:t xml:space="preserve">?</w:t>
      </w:r>
      <w:r>
        <w:t xml:space="preserve"> in a breakdown column means the per-arc CSV for that corner/type wasn't found (not a failure — just no detail to expand). The hint line under the table explains this.</w:t>
      </w:r>
    </w:p>
    <w:p>
      <w:r>
        <w:drawing>
          <wp:inline distT="0" distB="0" distL="0" distR="0">
            <wp:extent cx="5486400" cy="3086100"/>
            <wp:docPr id="5" name="Picture 5" descr="Outlier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6.6 Outlier scatter + source trace-back — the cross-check</w:t>
      </w:r>
    </w:p>
    <w:p>
      <w:r>
        <w:rPr>
          <w:b/>
        </w:rPr>
        <w:t xml:space="preserve">Double-click an Outliers row</w:t>
      </w:r>
      <w:r>
        <w:t xml:space="preserve"> to open the drill-down: a Lib-vs-MC scatter (with a residual / rel-error view and Normal/Log scale), plus ranked lists of the worst cells, table-points, and arcs. </w:t>
      </w:r>
      <w:r>
        <w:rPr>
          <w:b/>
        </w:rPr>
        <w:t xml:space="preserve">Double-click a worst-arc</w:t>
      </w:r>
      <w:r>
        <w:t xml:space="preserve"> to open its detail:</w:t>
      </w:r>
    </w:p>
    <w:p>
      <w:pPr>
        <w:numPr>
          <w:ilvl w:val="0"/>
          <w:numId w:val="1"/>
        </w:numPr>
      </w:pPr>
      <w:r>
        <w:t xml:space="preserve">exact MC value, Lib value, signed error, abs error, rel-error (with the engine</w:t>
      </w:r>
    </w:p>
    <w:p>
      <w:r>
        <w:t xml:space="preserve">denominator), and direction (optimistic / pessimistic);</w:t>
      </w:r>
    </w:p>
    <w:p>
      <w:pPr>
        <w:numPr>
          <w:ilvl w:val="0"/>
          <w:numId w:val="1"/>
        </w:numPr>
      </w:pPr>
      <w:r>
        <w:t xml:space="preserve">a </w:t>
      </w:r>
      <w:r>
        <w:rPr>
          <w:b/>
        </w:rPr>
        <w:t xml:space="preserve">Trace back to source</w:t>
      </w:r>
      <w:r>
        <w:t xml:space="preserve"> panel: </w:t>
      </w:r>
      <w:r>
        <w:rPr>
          <w:b/>
        </w:rPr>
        <w:t xml:space="preserve">Copy path</w:t>
      </w:r>
      <w:r>
        <w:t xml:space="preserve"> or </w:t>
      </w:r>
      <w:r>
        <w:rPr>
          <w:b/>
        </w:rPr>
        <w:t xml:space="preserve">Peek</w:t>
      </w:r>
      <w:r>
        <w:t xml:space="preserve"> straight into the</w:t>
      </w:r>
    </w:p>
    <w:p>
      <w:r>
        <w:t xml:space="preserve">source </w:t>
      </w:r>
      <w:r>
        <w:rPr>
          <w:rFonts w:ascii="Consolas" w:hAnsi="Consolas"/>
          <w:shd w:val="clear" w:fill="F2F2F2"/>
        </w:rPr>
        <w:t xml:space="preserve">.lib</w:t>
      </w:r>
      <w:r>
        <w:t xml:space="preserve"> cell block (the whole brace-balanced </w:t>
      </w:r>
      <w:r>
        <w:rPr>
          <w:rFonts w:ascii="Consolas" w:hAnsi="Consolas"/>
          <w:shd w:val="clear" w:fill="F2F2F2"/>
        </w:rPr>
        <w:t xml:space="preserve">cell (…) { … }</w:t>
      </w:r>
      <w:r>
        <w:t xml:space="preserve">) and the FMC input rows for that cell — the exact lines both parties need to agree on.</w:t>
      </w:r>
    </w:p>
    <w:p>
      <w:r>
        <w:t xml:space="preserve">This is the workflow two teams use to settle "is this outlier real?" without emailing files back and forth.</w:t>
      </w:r>
    </w:p>
    <w:p>
      <w:r>
        <w:drawing>
          <wp:inline distT="0" distB="0" distL="0" distR="0">
            <wp:extent cx="5486400" cy="3086100"/>
            <wp:docPr id="6" name="Picture 6" descr="Outlier drill-dow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sz="18" w:space="8" w:color="BBBBBB"/>
        </w:pBdr>
        <w:ind w:left="240"/>
      </w:pPr>
      <w:r>
        <w:t xml:space="preserve">If </w:t>
      </w:r>
      <w:r>
        <w:rPr>
          <w:rFonts w:ascii="Consolas" w:hAnsi="Consolas"/>
          <w:shd w:val="clear" w:fill="F2F2F2"/>
        </w:rPr>
        <w:t xml:space="preserve">matplotlib</w:t>
      </w:r>
      <w:r>
        <w:t xml:space="preserve"> isn't installed, the scatter degrades to a built-in Canvas plot — the rankings and source trace-back work either way.</w:t>
      </w:r>
    </w:p>
    <w:p>
      <w:pPr>
        <w:pStyle w:val="Heading3"/>
      </w:pPr>
      <w:r>
        <w:t xml:space="preserve">6.7 Common offenders — systematic vs one-off</w:t>
      </w:r>
    </w:p>
    <w:p>
      <w:r>
        <w:rPr>
          <w:b/>
        </w:rPr>
        <w:t xml:space="preserve">Common</w:t>
      </w:r>
      <w:r>
        <w:t xml:space="preserve"> finds cells/arcs that fail across *multiple* contexts (corners/batches), grouped by cell, cell+arc, or cell+table-point. Select several batches in History first to compare recipes. Double-click an offender to see every place it fails.</w:t>
      </w:r>
    </w:p>
    <w:p>
      <w:r>
        <w:drawing>
          <wp:inline distT="0" distB="0" distL="0" distR="0">
            <wp:extent cx="5486400" cy="3086100"/>
            <wp:docPr id="7" name="Picture 7" descr="Common offender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6.8 History — managing and scoping runs</w:t>
      </w:r>
    </w:p>
    <w:p>
      <w:r>
        <w:rPr>
          <w:b/>
        </w:rPr>
        <w:t xml:space="preserve">History</w:t>
      </w:r>
      <w:r>
        <w:t xml:space="preserve"> lists every past run. Double-click a row to load it into </w:t>
      </w:r>
      <w:r>
        <w:rPr>
          <w:b/>
        </w:rPr>
        <w:t xml:space="preserve">Results</w:t>
      </w:r>
      <w:r>
        <w:t xml:space="preserve">; ▢-check several rows to scope </w:t>
      </w:r>
      <w:r>
        <w:rPr>
          <w:b/>
        </w:rPr>
        <w:t xml:space="preserve">PR Status</w:t>
      </w:r>
      <w:r>
        <w:t xml:space="preserve">, </w:t>
      </w:r>
      <w:r>
        <w:rPr>
          <w:b/>
        </w:rPr>
        <w:t xml:space="preserve">Outliers</w:t>
      </w:r>
      <w:r>
        <w:t xml:space="preserve">, and </w:t>
      </w:r>
      <w:r>
        <w:rPr>
          <w:b/>
        </w:rPr>
        <w:t xml:space="preserve">Common</w:t>
      </w:r>
      <w:r>
        <w:t xml:space="preserve"> to just those batches.</w:t>
      </w:r>
    </w:p>
    <w:p>
      <w:r>
        <w:drawing>
          <wp:inline distT="0" distB="0" distL="0" distR="0">
            <wp:extent cx="5486400" cy="3086100"/>
            <wp:docPr id="8" name="Picture 8" descr="History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7. Waivers — terminology</w:t>
      </w:r>
    </w:p>
    <w:p>
      <w:pPr>
        <w:numPr>
          <w:ilvl w:val="0"/>
          <w:numId w:val="1"/>
        </w:numPr>
      </w:pPr>
      <w:r>
        <w:rPr>
          <w:b/>
        </w:rPr>
        <w:t xml:space="preserve">Base PR</w:t>
      </w:r>
      <w:r>
        <w:t xml:space="preserve"> — raw pass rate, no waivers.</w:t>
      </w:r>
    </w:p>
    <w:p>
      <w:pPr>
        <w:numPr>
          <w:ilvl w:val="0"/>
          <w:numId w:val="1"/>
        </w:numPr>
      </w:pPr>
      <w:r>
        <w:rPr>
          <w:b/>
        </w:rPr>
        <w:t xml:space="preserve">Waiver1</w:t>
      </w:r>
      <w:r>
        <w:t xml:space="preserve"> — CI bounds enlarged 6% (the engine's </w:t>
      </w:r>
      <w:r>
        <w:rPr>
          <w:rFonts w:ascii="Consolas" w:hAnsi="Consolas"/>
          <w:shd w:val="clear" w:fill="F2F2F2"/>
        </w:rPr>
        <w:t xml:space="preserve">Waiver1_CI_Enlarged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Waiver2</w:t>
      </w:r>
      <w:r>
        <w:t xml:space="preserve"> — </w:t>
      </w:r>
      <w:r>
        <w:rPr>
          <w:rFonts w:ascii="Consolas" w:hAnsi="Consolas"/>
          <w:shd w:val="clear" w:fill="F2F2F2"/>
        </w:rPr>
        <w:t xml:space="preserve">abs_tol</w:t>
      </w:r>
      <w:r>
        <w:t xml:space="preserve"> (ps), </w:t>
      </w:r>
      <w:r>
        <w:rPr>
          <w:b/>
        </w:rPr>
        <w:t xml:space="preserve">hold Late_Sigma only</w:t>
      </w:r>
      <w:r>
        <w:t xml:space="preserve">, stacked on Base+W1; you</w:t>
      </w:r>
    </w:p>
    <w:p>
      <w:r>
        <w:t xml:space="preserve">supply the value. The tool never invents it.</w:t>
      </w:r>
    </w:p>
    <w:p>
      <w:r>
        <w:t xml:space="preserve">(Waiver3 is handled downstream by the separate Voltage-Margin tool and is out of scope here.)</w:t>
      </w:r>
    </w:p>
    <w:p>
      <w:pPr>
        <w:pBdr>
          <w:left w:val="single" w:sz="18" w:space="8" w:color="BBBBBB"/>
        </w:pBdr>
        <w:ind w:left="240"/>
      </w:pPr>
      <w:r>
        <w:t xml:space="preserve">Note the scope: "Waiver1 / Waiver2" above are the </w:t>
      </w:r>
      <w:r>
        <w:rPr>
          <w:b/>
        </w:rPr>
        <w:t xml:space="preserve">in-tool</w:t>
      </w:r>
      <w:r>
        <w:t xml:space="preserve"> implementation columns. In the broader cert flow, everything this tool produces (Base + both in-tool waivers) is what the wider process calls </w:t>
      </w:r>
      <w:r>
        <w:rPr>
          <w:rFonts w:ascii="Consolas" w:hAnsi="Consolas"/>
          <w:shd w:val="clear" w:fill="F2F2F2"/>
        </w:rPr>
        <w:t xml:space="preserve">waiver_1</w:t>
      </w:r>
      <w:r>
        <w:t xml:space="preserve">; the process-level </w:t>
      </w:r>
      <w:r>
        <w:rPr>
          <w:rFonts w:ascii="Consolas" w:hAnsi="Consolas"/>
          <w:shd w:val="clear" w:fill="F2F2F2"/>
        </w:rPr>
        <w:t xml:space="preserve">waiver_2</w:t>
      </w:r>
      <w:r>
        <w:t xml:space="preserve"> (</w:t>
      </w:r>
      <w:r>
        <w:rPr>
          <w:rFonts w:ascii="Consolas" w:hAnsi="Consolas"/>
          <w:shd w:val="clear" w:fill="F2F2F2"/>
        </w:rPr>
        <w:t xml:space="preserve">abs_tol</w:t>
      </w:r>
      <w:r>
        <w:t xml:space="preserve"> supplied by you) and </w:t>
      </w:r>
      <w:r>
        <w:rPr>
          <w:rFonts w:ascii="Consolas" w:hAnsi="Consolas"/>
          <w:shd w:val="clear" w:fill="F2F2F2"/>
        </w:rPr>
        <w:t xml:space="preserve">waiver_3</w:t>
      </w:r>
      <w:r>
        <w:t xml:space="preserve"> (Voltage Margin) are separate stages.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8. Troubleshooting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00"/>
        <w:gridCol w:w="2400"/>
      </w:tblGrid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Symptom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Fix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ERROR: this Python has no Tkinter</w:t>
            </w:r>
          </w:p>
        </w:tc>
        <w:tc>
          <w:tcPr>
            <w:tcW w:w="0" w:type="auto"/>
          </w:tcPr>
          <w:p>
            <w:r>
              <w:t xml:space="preserve">Use a Python built with Tk: </w:t>
            </w:r>
            <w:r>
              <w:rPr>
                <w:rFonts w:ascii="Consolas" w:hAnsi="Consolas"/>
                <w:shd w:val="clear" w:fill="F2F2F2"/>
              </w:rPr>
              <w:t xml:space="preserve">python -c "import tkinter"</w:t>
            </w:r>
            <w:r>
              <w:t xml:space="preserve"> should succeed. Most EDA host Pythons qualify.</w:t>
            </w:r>
          </w:p>
        </w:tc>
      </w:tr>
      <w:tr>
        <w:tc>
          <w:tcPr>
            <w:tcW w:w="0" w:type="auto"/>
          </w:tcPr>
          <w:p>
            <w:r>
              <w:t xml:space="preserve">Run fails immediately on a real deck</w:t>
            </w:r>
          </w:p>
        </w:tc>
        <w:tc>
          <w:tcPr>
            <w:tcW w:w="0" w:type="auto"/>
          </w:tcPr>
          <w:p>
            <w:r>
              <w:t xml:space="preserve">Confirm pandas/numpy are importable, and for lib-join that the EDA </w:t>
            </w:r>
            <w:r>
              <w:rPr>
                <w:rFonts w:ascii="Consolas" w:hAnsi="Consolas"/>
                <w:shd w:val="clear" w:fill="F2F2F2"/>
              </w:rPr>
              <w:t xml:space="preserve">ldbx</w:t>
            </w:r>
            <w:r>
              <w:t xml:space="preserve"> module is on </w:t>
            </w:r>
            <w:r>
              <w:rPr>
                <w:rFonts w:ascii="Consolas" w:hAnsi="Consolas"/>
                <w:shd w:val="clear" w:fill="F2F2F2"/>
              </w:rPr>
              <w:t xml:space="preserve">PYTHONPATH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t xml:space="preserve">Outlier breakdown columns show </w:t>
            </w:r>
            <w:r>
              <w:rPr>
                <w:rFonts w:ascii="Consolas" w:hAnsi="Consolas"/>
                <w:shd w:val="clear" w:fill="F2F2F2"/>
              </w:rPr>
              <w:t xml:space="preserve">?</w:t>
            </w:r>
          </w:p>
        </w:tc>
        <w:tc>
          <w:tcPr>
            <w:tcW w:w="0" w:type="auto"/>
          </w:tcPr>
          <w:p>
            <w:r>
              <w:t xml:space="preserve">The per-arc CSV for that corner/type wasn't found — there's no detail to expand, but it's not a failure.</w:t>
            </w:r>
          </w:p>
        </w:tc>
      </w:tr>
      <w:tr>
        <w:tc>
          <w:tcPr>
            <w:tcW w:w="0" w:type="auto"/>
          </w:tcPr>
          <w:p>
            <w:r>
              <w:t xml:space="preserve">Scatter looks basic (no matplotlib styling)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matplotlib</w:t>
            </w:r>
            <w:r>
              <w:t xml:space="preserve"> isn't installed; the Canvas fallback is in use. </w:t>
            </w:r>
            <w:r>
              <w:rPr>
                <w:rFonts w:ascii="Consolas" w:hAnsi="Consolas"/>
                <w:shd w:val="clear" w:fill="F2F2F2"/>
              </w:rPr>
              <w:t xml:space="preserve">pip install matplotlib</w:t>
            </w:r>
            <w:r>
              <w:t xml:space="preserve"> for the richer view.</w:t>
            </w:r>
          </w:p>
        </w:tc>
      </w:tr>
      <w:tr>
        <w:tc>
          <w:tcPr>
            <w:tcW w:w="0" w:type="auto"/>
          </w:tcPr>
          <w:p>
            <w:r>
              <w:t xml:space="preserve">Waiver2 seems ignored</w:t>
            </w:r>
          </w:p>
        </w:tc>
        <w:tc>
          <w:tcPr>
            <w:tcW w:w="0" w:type="auto"/>
          </w:tcPr>
          <w:p>
            <w:r>
              <w:t xml:space="preserve">Check the </w:t>
            </w:r>
            <w:r>
              <w:rPr>
                <w:b/>
              </w:rPr>
              <w:t xml:space="preserve">abs_tol ps (hold)</w:t>
            </w:r>
            <w:r>
              <w:t xml:space="preserve"> field — blank means off; an unparseable value now raises a warning.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t xml:space="preserve">*Headless / scripted runs:* a command-line pipeline also exists for batch use — </w:t>
      </w:r>
      <w:r>
        <w:rPr>
          <w:rFonts w:ascii="Consolas" w:hAnsi="Consolas"/>
          <w:shd w:val="clear" w:fill="F2F2F2"/>
        </w:rPr>
        <w:t xml:space="preserve">python -m cert_data_process.cli --help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abstractNum w:abstractNumId="1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80"/>
    </w:pPr>
    <w:rPr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b/>
      <w:color w:val="2E5496"/>
      <w:sz w:val="32"/>
    </w:rPr>
  </w:style>
  <w:style w:type="paragraph" w:styleId="Heading3">
    <w:name w:val="heading 3"/>
    <w:basedOn w:val="Normal"/>
    <w:pPr>
      <w:keepNext/>
      <w:spacing w:before="240" w:after="80"/>
    </w:pPr>
    <w:rPr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b/>
      <w:color w:val="444444"/>
      <w:sz w:val="2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1" Type="http://schemas.openxmlformats.org/officeDocument/2006/relationships/image" Target="media/01_setup.png"/><Relationship Id="rId2" Type="http://schemas.openxmlformats.org/officeDocument/2006/relationships/image" Target="media/02_pipeline.png"/><Relationship Id="rId3" Type="http://schemas.openxmlformats.org/officeDocument/2006/relationships/image" Target="media/03_results.png"/><Relationship Id="rId4" Type="http://schemas.openxmlformats.org/officeDocument/2006/relationships/image" Target="media/04_pr_status.png"/><Relationship Id="rId5" Type="http://schemas.openxmlformats.org/officeDocument/2006/relationships/image" Target="media/05_outliers.png"/><Relationship Id="rId6" Type="http://schemas.openxmlformats.org/officeDocument/2006/relationships/image" Target="media/06_outlier_drill.png"/><Relationship Id="rId7" Type="http://schemas.openxmlformats.org/officeDocument/2006/relationships/image" Target="media/07_common.png"/><Relationship Id="rId8" Type="http://schemas.openxmlformats.org/officeDocument/2006/relationships/image" Target="media/08_history.png"/></Relationships>
</file>