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Results</w:t>
      </w:r>
    </w:p>
    <w:p>
      <w:r>
        <w:t>Prior work showed robust phenotypes [1]. We also cite a missing key [3]. Smith et al. reported similar findings (Smith et al., 2020).</w:t>
      </w:r>
    </w:p>
    <w:p>
      <w:r>
        <w:t>References</w:t>
      </w:r>
    </w:p>
    <w:p>
      <w:r>
        <w:t>1. Adams A. First paper on phenotypes. Journal of Demo. 2019. doi: 10.1000/demo.aaaa</w:t>
      </w:r>
    </w:p>
    <w:p>
      <w:r>
        <w:t>1. Adams A. Duplicate key entry. Journal of Demo. 2018. doi: 10.1000/demo.dup</w:t>
      </w:r>
    </w:p>
    <w:p>
      <w:r>
        <w:t>2. Baker B. (2018) Second paper (2019) with conflicting years. J Conf. doi: 10.1000/demo.bbbb</w:t>
      </w:r>
    </w:p>
    <w:p>
      <w:r>
        <w:t>4. Carter C. Orphan paper never cited. J Unused. 2017. doi: 10.1000/demo.orph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