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Results</w:t>
      </w:r>
    </w:p>
    <w:p>
      <w:r>
        <w:t>Clone growth was quantified as shown in Figure 3 and Figure 4, and body weight in Figure 5.</w:t>
      </w:r>
    </w:p>
    <w:p>
      <w:pPr>
        <w:pStyle w:val="Heading1"/>
      </w:pPr>
      <w:r>
        <w:t>Figure legends</w:t>
      </w:r>
    </w:p>
    <w:p>
      <w:r>
        <w:t>Figure 3 | Clone marker positivity. b, Percentage of positive cells in scrib clones (n = 10). c, Percentage of positive cells in scrib+RNAi clones (n = 11). Data are mean ± SEM.</w:t>
      </w:r>
    </w:p>
    <w:p>
      <w:r>
        <w:t>Figure 4 | Clone growth. b, Relative clone size of scrib clones (n = 10). d, Relative size in scrib+RNAi clones (n = 9). m, EdU per area in wild-type clones (n = 12). Data are mean ± SD.</w:t>
      </w:r>
    </w:p>
    <w:p>
      <w:r>
        <w:t>Figure 5 | Adult phenotype. a, Representative adult flies. b, Wing area. c, Body weight of adult flies (n = 10). Data are mean ± SD.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