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6A9B" w14:textId="77777777" w:rsidR="007D24A0" w:rsidRPr="007D24A0" w:rsidRDefault="007D24A0" w:rsidP="007D24A0">
      <w:pPr>
        <w:spacing w:line="360" w:lineRule="auto"/>
        <w:ind w:firstLineChars="245" w:firstLine="738"/>
        <w:rPr>
          <w:rFonts w:ascii="SimSun" w:hAnsi="SimSun" w:cs="Courier New"/>
          <w:b/>
          <w:bCs/>
          <w:sz w:val="30"/>
          <w:szCs w:val="30"/>
        </w:rPr>
      </w:pPr>
      <w:r w:rsidRPr="007D24A0">
        <w:rPr>
          <w:rFonts w:ascii="SimSun" w:hAnsi="SimSun" w:cs="Courier New" w:hint="eastAsia"/>
          <w:b/>
          <w:bCs/>
          <w:sz w:val="30"/>
          <w:szCs w:val="30"/>
        </w:rPr>
        <w:t>《清华大学学报（哲学社会科学版）》文献注释规范</w:t>
      </w:r>
    </w:p>
    <w:p w14:paraId="23396E5D" w14:textId="77777777" w:rsidR="007D24A0" w:rsidRPr="007D24A0" w:rsidRDefault="007D24A0" w:rsidP="007D24A0">
      <w:pPr>
        <w:spacing w:line="360" w:lineRule="auto"/>
        <w:ind w:firstLineChars="245" w:firstLine="590"/>
        <w:rPr>
          <w:rFonts w:ascii="SimSun" w:hAnsi="SimSun" w:cs="Courier New"/>
          <w:b/>
          <w:bCs/>
          <w:sz w:val="24"/>
          <w:szCs w:val="24"/>
        </w:rPr>
      </w:pPr>
    </w:p>
    <w:p w14:paraId="6D4BA625" w14:textId="77777777" w:rsidR="007D24A0" w:rsidRDefault="007D24A0" w:rsidP="007D24A0">
      <w:pPr>
        <w:spacing w:line="360" w:lineRule="auto"/>
        <w:ind w:firstLineChars="200" w:firstLine="480"/>
        <w:rPr>
          <w:rFonts w:ascii="SimSun" w:hAnsi="SimSun"/>
          <w:bCs/>
          <w:sz w:val="24"/>
          <w:szCs w:val="24"/>
        </w:rPr>
      </w:pPr>
      <w:r w:rsidRPr="007D24A0">
        <w:rPr>
          <w:rFonts w:ascii="SimSun" w:hAnsi="SimSun" w:hint="eastAsia"/>
          <w:bCs/>
          <w:sz w:val="24"/>
          <w:szCs w:val="24"/>
        </w:rPr>
        <w:t>在人文社会科学研究中，“注释”体例和“著者</w:t>
      </w:r>
      <w:r w:rsidRPr="007D24A0">
        <w:rPr>
          <w:rFonts w:ascii="SimSun" w:hAnsi="SimSun"/>
          <w:bCs/>
          <w:sz w:val="24"/>
          <w:szCs w:val="24"/>
        </w:rPr>
        <w:t>-</w:t>
      </w:r>
      <w:r w:rsidRPr="007D24A0">
        <w:rPr>
          <w:rFonts w:ascii="SimSun" w:hAnsi="SimSun" w:hint="eastAsia"/>
          <w:bCs/>
          <w:sz w:val="24"/>
          <w:szCs w:val="24"/>
        </w:rPr>
        <w:t>出版年”体例是两种常见的文献引证形式。作者采用上述两种引证体例中的哪一种，可视具体情况自行选定。以下是“注释”体例和“著者</w:t>
      </w:r>
      <w:r w:rsidRPr="007D24A0">
        <w:rPr>
          <w:rFonts w:ascii="SimSun" w:hAnsi="SimSun"/>
          <w:bCs/>
          <w:sz w:val="24"/>
          <w:szCs w:val="24"/>
        </w:rPr>
        <w:t>-</w:t>
      </w:r>
      <w:r w:rsidRPr="007D24A0">
        <w:rPr>
          <w:rFonts w:ascii="SimSun" w:hAnsi="SimSun" w:hint="eastAsia"/>
          <w:bCs/>
          <w:sz w:val="24"/>
          <w:szCs w:val="24"/>
        </w:rPr>
        <w:t>出版年”体例的技术规范，供作者参考。</w:t>
      </w:r>
    </w:p>
    <w:p w14:paraId="0A31DAC5" w14:textId="77777777" w:rsidR="008353AF" w:rsidRPr="007D24A0" w:rsidRDefault="008353AF" w:rsidP="007D24A0">
      <w:pPr>
        <w:spacing w:line="360" w:lineRule="auto"/>
        <w:ind w:firstLineChars="200" w:firstLine="480"/>
        <w:rPr>
          <w:rFonts w:ascii="SimSun" w:hAnsi="SimSun"/>
          <w:bCs/>
          <w:sz w:val="24"/>
          <w:szCs w:val="24"/>
        </w:rPr>
      </w:pPr>
      <w:bookmarkStart w:id="0" w:name="_GoBack"/>
      <w:bookmarkEnd w:id="0"/>
    </w:p>
    <w:p w14:paraId="35A27ED3" w14:textId="77777777" w:rsidR="007D24A0" w:rsidRPr="007D24A0" w:rsidRDefault="007D24A0" w:rsidP="00690FBD">
      <w:pPr>
        <w:spacing w:line="360" w:lineRule="auto"/>
        <w:ind w:firstLineChars="98" w:firstLine="236"/>
        <w:jc w:val="center"/>
        <w:rPr>
          <w:rFonts w:ascii="SimSun" w:hAnsi="SimSun" w:cs="Courier New"/>
          <w:b/>
          <w:bCs/>
          <w:sz w:val="24"/>
          <w:szCs w:val="24"/>
        </w:rPr>
      </w:pPr>
      <w:r w:rsidRPr="007D24A0">
        <w:rPr>
          <w:rFonts w:ascii="SimSun" w:hAnsi="SimSun" w:cs="Courier New" w:hint="eastAsia"/>
          <w:b/>
          <w:bCs/>
          <w:sz w:val="24"/>
          <w:szCs w:val="24"/>
        </w:rPr>
        <w:t>一、注释体例</w:t>
      </w:r>
    </w:p>
    <w:p w14:paraId="35E83487" w14:textId="77777777" w:rsidR="007D24A0" w:rsidRPr="007D24A0" w:rsidRDefault="007D24A0" w:rsidP="007D24A0">
      <w:pPr>
        <w:spacing w:line="360" w:lineRule="auto"/>
        <w:ind w:firstLineChars="147" w:firstLine="354"/>
        <w:rPr>
          <w:rFonts w:ascii="SimSun" w:hAnsi="SimSun" w:cs="Courier New"/>
          <w:b/>
          <w:sz w:val="24"/>
          <w:szCs w:val="24"/>
        </w:rPr>
      </w:pPr>
      <w:r w:rsidRPr="007D24A0">
        <w:rPr>
          <w:rFonts w:ascii="SimSun" w:hAnsi="SimSun" w:cs="Courier New" w:hint="eastAsia"/>
          <w:b/>
          <w:sz w:val="24"/>
          <w:szCs w:val="24"/>
        </w:rPr>
        <w:t>（一）引文的标示</w:t>
      </w:r>
    </w:p>
    <w:p w14:paraId="2833EAA6"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引文分为直接引文和间接引文。</w:t>
      </w:r>
    </w:p>
    <w:p w14:paraId="6ABDA058"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直接引文系指正文中直接引用相关文献中的词语、句子或段落，引文用引号引起来。篇幅比较长或者需要特别强调的直接引文，不加引号，另起行，以自成段落的形式出现，段落左边整体缩两格（第一行缩四格），并变字体，与正文相区别。</w:t>
      </w:r>
    </w:p>
    <w:p w14:paraId="07BD3919" w14:textId="77777777" w:rsidR="007D24A0" w:rsidRPr="007D24A0" w:rsidRDefault="007D24A0" w:rsidP="007D24A0">
      <w:pPr>
        <w:spacing w:line="360" w:lineRule="auto"/>
        <w:ind w:firstLine="480"/>
        <w:rPr>
          <w:rFonts w:ascii="SimSun" w:hAnsi="SimSun" w:cs="Courier New"/>
          <w:sz w:val="24"/>
          <w:szCs w:val="24"/>
        </w:rPr>
      </w:pPr>
      <w:r w:rsidRPr="007D24A0">
        <w:rPr>
          <w:rFonts w:ascii="SimSun" w:hAnsi="SimSun" w:cs="Courier New" w:hint="eastAsia"/>
          <w:sz w:val="24"/>
          <w:szCs w:val="24"/>
        </w:rPr>
        <w:t>间接引文也称作意引，就是用自己的语言将引证文献的主要内容或观点概括表达出来。</w:t>
      </w:r>
    </w:p>
    <w:p w14:paraId="0144217E"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无论是直接引文还是间接引文，正文中的注释号统一置于包含引文的句子或段落</w:t>
      </w:r>
      <w:r w:rsidRPr="007D24A0">
        <w:rPr>
          <w:rFonts w:ascii="SimSun" w:hAnsi="SimSun" w:cs="Courier New" w:hint="eastAsia"/>
          <w:b/>
          <w:sz w:val="24"/>
          <w:szCs w:val="24"/>
        </w:rPr>
        <w:t>标点符号之后</w:t>
      </w:r>
      <w:r w:rsidRPr="007D24A0">
        <w:rPr>
          <w:rFonts w:ascii="SimSun" w:hAnsi="SimSun" w:cs="Courier New" w:hint="eastAsia"/>
          <w:sz w:val="24"/>
          <w:szCs w:val="24"/>
        </w:rPr>
        <w:t>（对专门词语做注释时除外，注释号可紧随其后）。</w:t>
      </w:r>
    </w:p>
    <w:p w14:paraId="2DC59519"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每条注释不分段。所有注释均按照前后顺序逐条依次编排。注释可以放置于当页下（脚注），也可放置于文末（尾注），各刊任选其一。</w:t>
      </w:r>
    </w:p>
    <w:p w14:paraId="0FF5AE03"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注释序号用①，②，③……，或用右上角码1，2，3……，不管选择哪一种，注释前的编号应与正文中引文后的序号一致。通过注释序号将正文中引文与页下和文末注释准确对应联系，完成文献引证的功能。</w:t>
      </w:r>
    </w:p>
    <w:p w14:paraId="5F216478" w14:textId="77777777" w:rsidR="007D24A0" w:rsidRPr="007D24A0" w:rsidRDefault="007D24A0" w:rsidP="007D24A0">
      <w:pPr>
        <w:spacing w:line="360" w:lineRule="auto"/>
        <w:ind w:firstLineChars="200" w:firstLine="482"/>
        <w:rPr>
          <w:rFonts w:ascii="SimSun" w:hAnsi="SimSun" w:cs="Courier New"/>
          <w:b/>
          <w:bCs/>
          <w:sz w:val="24"/>
          <w:szCs w:val="24"/>
        </w:rPr>
      </w:pPr>
      <w:r w:rsidRPr="007D24A0">
        <w:rPr>
          <w:rFonts w:ascii="SimSun" w:hAnsi="SimSun" w:cs="Courier New" w:hint="eastAsia"/>
          <w:b/>
          <w:bCs/>
          <w:sz w:val="24"/>
          <w:szCs w:val="24"/>
        </w:rPr>
        <w:t>（二）注释的标注</w:t>
      </w:r>
    </w:p>
    <w:p w14:paraId="1F183AB5"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“注释”中对直接或间接引用或参考的文献说明其来源出处，称为“资料性注释”（</w:t>
      </w:r>
      <w:r w:rsidRPr="007D24A0">
        <w:rPr>
          <w:rFonts w:ascii="SimSun" w:hAnsi="SimSun" w:cs="Courier New"/>
          <w:sz w:val="24"/>
          <w:szCs w:val="24"/>
        </w:rPr>
        <w:t>Reference  notes</w:t>
      </w:r>
      <w:r w:rsidRPr="007D24A0">
        <w:rPr>
          <w:rFonts w:ascii="SimSun" w:hAnsi="SimSun" w:cs="Courier New" w:hint="eastAsia"/>
          <w:sz w:val="24"/>
          <w:szCs w:val="24"/>
        </w:rPr>
        <w:t>），通常以相对固定的格式反映出来；对正文内容中的术语、概念以及提到的事实、观点和资料进行进一步的解释、辨析或评论的文字，称为“内容性注释”（</w:t>
      </w:r>
      <w:r w:rsidRPr="007D24A0">
        <w:rPr>
          <w:rFonts w:ascii="SimSun" w:hAnsi="SimSun" w:cs="Courier New"/>
          <w:sz w:val="24"/>
          <w:szCs w:val="24"/>
        </w:rPr>
        <w:t>Content  notes</w:t>
      </w:r>
      <w:r w:rsidRPr="007D24A0">
        <w:rPr>
          <w:rFonts w:ascii="SimSun" w:hAnsi="SimSun" w:cs="Courier New" w:hint="eastAsia"/>
          <w:sz w:val="24"/>
          <w:szCs w:val="24"/>
        </w:rPr>
        <w:t>）。因此，注释的标注格式通常是指资料性注释而言。</w:t>
      </w:r>
    </w:p>
    <w:p w14:paraId="7F90EB25"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资料性注释中各项目的标注，应以被引证文献的版权页为准。此外可参考相</w:t>
      </w:r>
      <w:r w:rsidRPr="007D24A0">
        <w:rPr>
          <w:rFonts w:ascii="SimSun" w:hAnsi="SimSun" w:cs="Courier New" w:hint="eastAsia"/>
          <w:sz w:val="24"/>
          <w:szCs w:val="24"/>
        </w:rPr>
        <w:lastRenderedPageBreak/>
        <w:t>关的书名页（扉页）、封面、封套等；析出文献的标注应以析出文献本身提供的信息为准，也可参考所引文集或期刊等的目次页。原则上各标注项目应与原文献保持一致。</w:t>
      </w:r>
    </w:p>
    <w:p w14:paraId="7599EFE3" w14:textId="77777777" w:rsidR="007D24A0" w:rsidRPr="007D24A0" w:rsidRDefault="007D24A0" w:rsidP="007D24A0">
      <w:pPr>
        <w:spacing w:line="360" w:lineRule="auto"/>
        <w:ind w:firstLineChars="200" w:firstLine="480"/>
        <w:rPr>
          <w:rFonts w:ascii="SimSun" w:hAnsi="SimSun" w:cs="Courier New"/>
          <w:bCs/>
          <w:sz w:val="24"/>
          <w:szCs w:val="24"/>
        </w:rPr>
      </w:pPr>
      <w:r w:rsidRPr="007D24A0">
        <w:rPr>
          <w:rFonts w:ascii="SimSun" w:hAnsi="SimSun" w:cs="Courier New" w:hint="eastAsia"/>
          <w:bCs/>
          <w:sz w:val="24"/>
          <w:szCs w:val="24"/>
        </w:rPr>
        <w:t>具体标注情况如下。</w:t>
      </w:r>
    </w:p>
    <w:p w14:paraId="2D94C4A3" w14:textId="77777777" w:rsidR="007D24A0" w:rsidRPr="007D24A0" w:rsidRDefault="007D24A0" w:rsidP="007D24A0">
      <w:pPr>
        <w:spacing w:line="360" w:lineRule="auto"/>
        <w:ind w:firstLineChars="200" w:firstLine="482"/>
        <w:rPr>
          <w:rFonts w:ascii="SimSun" w:hAnsi="SimSun" w:cs="Courier New"/>
          <w:sz w:val="24"/>
          <w:szCs w:val="24"/>
        </w:rPr>
      </w:pPr>
      <w:r w:rsidRPr="007D24A0">
        <w:rPr>
          <w:rFonts w:ascii="SimSun" w:hAnsi="SimSun" w:cs="Courier New" w:hint="eastAsia"/>
          <w:b/>
          <w:bCs/>
          <w:sz w:val="24"/>
          <w:szCs w:val="24"/>
        </w:rPr>
        <w:t>1.专著：</w:t>
      </w:r>
      <w:r w:rsidRPr="007D24A0">
        <w:rPr>
          <w:rFonts w:ascii="SimSun" w:hAnsi="SimSun" w:cs="Courier New" w:hint="eastAsia"/>
          <w:sz w:val="24"/>
          <w:szCs w:val="24"/>
        </w:rPr>
        <w:t>责任者（责任方式）／题名／卷册／出版地／出版者／出版年／页码。责任方式与题名之间一律用冒号；责任方式为“著”可省略。</w:t>
      </w:r>
    </w:p>
    <w:p w14:paraId="3F486DB8" w14:textId="77777777" w:rsidR="007D24A0" w:rsidRPr="007D24A0" w:rsidRDefault="007D24A0" w:rsidP="007D24A0">
      <w:pPr>
        <w:spacing w:line="360" w:lineRule="auto"/>
        <w:rPr>
          <w:rFonts w:ascii="SimSun" w:hAnsi="SimSun"/>
          <w:spacing w:val="-8"/>
          <w:sz w:val="24"/>
          <w:szCs w:val="24"/>
        </w:rPr>
      </w:pPr>
      <w:r w:rsidRPr="007D24A0">
        <w:rPr>
          <w:rFonts w:ascii="SimSun" w:hAnsi="SimSun" w:hint="eastAsia"/>
          <w:spacing w:val="-8"/>
          <w:sz w:val="24"/>
          <w:szCs w:val="24"/>
        </w:rPr>
        <w:t>示例1：</w:t>
      </w:r>
    </w:p>
    <w:p w14:paraId="58A5F0C7" w14:textId="77777777" w:rsidR="007D24A0" w:rsidRPr="007D24A0" w:rsidRDefault="007D24A0" w:rsidP="007D24A0">
      <w:pPr>
        <w:spacing w:line="360" w:lineRule="auto"/>
        <w:ind w:firstLineChars="200" w:firstLine="448"/>
        <w:rPr>
          <w:rFonts w:ascii="KaiTi" w:eastAsia="KaiTi" w:hAnsi="KaiTi"/>
          <w:sz w:val="24"/>
          <w:szCs w:val="24"/>
        </w:rPr>
      </w:pPr>
      <w:r w:rsidRPr="007D24A0">
        <w:rPr>
          <w:rFonts w:ascii="KaiTi" w:eastAsia="KaiTi" w:hAnsi="KaiTi" w:hint="eastAsia"/>
          <w:spacing w:val="-8"/>
          <w:sz w:val="24"/>
          <w:szCs w:val="24"/>
        </w:rPr>
        <w:t>戴裔煊：《〈明史·佛郎机传〉笺正》，北京：中国社会科学出版社，1984年，第6页。</w:t>
      </w:r>
    </w:p>
    <w:p w14:paraId="7112E053" w14:textId="77777777" w:rsidR="007D24A0" w:rsidRPr="007D24A0" w:rsidRDefault="007D24A0" w:rsidP="007D24A0">
      <w:pPr>
        <w:spacing w:line="360" w:lineRule="auto"/>
        <w:ind w:rightChars="13" w:right="27"/>
        <w:rPr>
          <w:rFonts w:ascii="SimSun" w:hAnsi="SimSun"/>
          <w:spacing w:val="-8"/>
          <w:sz w:val="24"/>
          <w:szCs w:val="24"/>
        </w:rPr>
      </w:pPr>
      <w:r w:rsidRPr="007D24A0">
        <w:rPr>
          <w:rFonts w:ascii="SimSun" w:hAnsi="SimSun" w:hint="eastAsia"/>
          <w:spacing w:val="-8"/>
          <w:sz w:val="24"/>
          <w:szCs w:val="24"/>
        </w:rPr>
        <w:t>示例2：</w:t>
      </w:r>
    </w:p>
    <w:p w14:paraId="7C34CEC7" w14:textId="77777777" w:rsidR="007D24A0" w:rsidRPr="007D24A0" w:rsidRDefault="007D24A0" w:rsidP="007D24A0">
      <w:pPr>
        <w:spacing w:line="360" w:lineRule="auto"/>
        <w:ind w:rightChars="13" w:right="27" w:firstLineChars="200" w:firstLine="480"/>
        <w:rPr>
          <w:rFonts w:ascii="KaiTi" w:eastAsia="KaiTi" w:hAnsi="KaiTi"/>
          <w:spacing w:val="-8"/>
          <w:sz w:val="24"/>
          <w:szCs w:val="24"/>
        </w:rPr>
      </w:pPr>
      <w:r w:rsidRPr="007D24A0">
        <w:rPr>
          <w:rFonts w:ascii="KaiTi" w:eastAsia="KaiTi" w:hAnsi="KaiTi" w:hint="eastAsia"/>
          <w:sz w:val="24"/>
          <w:szCs w:val="24"/>
        </w:rPr>
        <w:t>许毅等著:《清代外债史论》,北京：中国财政经济出版社，1996年，第95页。</w:t>
      </w:r>
    </w:p>
    <w:p w14:paraId="10EDA799"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中译本著作，译者作为第二责任者放在题名之后。</w:t>
      </w:r>
    </w:p>
    <w:p w14:paraId="08436370"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w:t>
      </w:r>
    </w:p>
    <w:p w14:paraId="1C4A84C6" w14:textId="77777777" w:rsidR="007D24A0" w:rsidRPr="007D24A0" w:rsidRDefault="007D24A0" w:rsidP="007D24A0">
      <w:pPr>
        <w:snapToGrid w:val="0"/>
        <w:spacing w:line="360" w:lineRule="auto"/>
        <w:ind w:firstLineChars="200" w:firstLine="480"/>
        <w:jc w:val="left"/>
        <w:rPr>
          <w:rFonts w:ascii="KaiTi" w:eastAsia="KaiTi" w:hAnsi="KaiTi"/>
          <w:sz w:val="24"/>
          <w:szCs w:val="24"/>
        </w:rPr>
      </w:pPr>
      <w:r w:rsidRPr="007D24A0">
        <w:rPr>
          <w:rFonts w:ascii="KaiTi" w:eastAsia="KaiTi" w:hAnsi="KaiTi" w:hint="eastAsia"/>
          <w:sz w:val="24"/>
          <w:szCs w:val="24"/>
        </w:rPr>
        <w:t>马士：《东印度公司对华贸易编年史》，区宗华译，广州：中山大学出版社，1991年，第4、5卷合订本，第429－431页。</w:t>
      </w:r>
    </w:p>
    <w:p w14:paraId="71D46589" w14:textId="77777777" w:rsidR="007D24A0" w:rsidRPr="007D24A0" w:rsidRDefault="007D24A0" w:rsidP="007D24A0">
      <w:pPr>
        <w:spacing w:line="360" w:lineRule="auto"/>
        <w:ind w:firstLineChars="200" w:firstLine="482"/>
        <w:rPr>
          <w:rFonts w:ascii="SimSun" w:hAnsi="SimSun" w:cs="Courier New"/>
          <w:sz w:val="24"/>
          <w:szCs w:val="24"/>
        </w:rPr>
      </w:pPr>
      <w:r w:rsidRPr="007D24A0">
        <w:rPr>
          <w:rFonts w:ascii="SimSun" w:hAnsi="SimSun" w:cs="Courier New" w:hint="eastAsia"/>
          <w:b/>
          <w:bCs/>
          <w:sz w:val="24"/>
          <w:szCs w:val="24"/>
        </w:rPr>
        <w:t>2.析出文献：</w:t>
      </w:r>
      <w:r w:rsidRPr="007D24A0">
        <w:rPr>
          <w:rFonts w:ascii="SimSun" w:hAnsi="SimSun" w:cs="Courier New" w:hint="eastAsia"/>
          <w:sz w:val="24"/>
          <w:szCs w:val="24"/>
        </w:rPr>
        <w:t>析出文献责任者／析出文献题名／（见）文集责任者</w:t>
      </w:r>
      <w:r w:rsidRPr="007D24A0">
        <w:rPr>
          <w:rFonts w:ascii="SimSun" w:hAnsi="SimSun" w:hint="eastAsia"/>
          <w:sz w:val="24"/>
          <w:szCs w:val="24"/>
        </w:rPr>
        <w:t>（责任方式）</w:t>
      </w:r>
      <w:r w:rsidRPr="007D24A0">
        <w:rPr>
          <w:rFonts w:ascii="SimSun" w:hAnsi="SimSun" w:cs="Courier New" w:hint="eastAsia"/>
          <w:sz w:val="24"/>
          <w:szCs w:val="24"/>
        </w:rPr>
        <w:t>／文集题名／卷册／出版地／出版者／出版年／页码。文集责任者前的“见”在不产生歧异的情况下，可省略。</w:t>
      </w:r>
    </w:p>
    <w:p w14:paraId="7C482F27"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7845EB11"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汪子春：《中国养蚕科学技术的发展和传播》，见自然科学研究所编：《中国古代科技成就》，北京：中国青年出版社，1978年，第382－391页。</w:t>
      </w:r>
    </w:p>
    <w:p w14:paraId="2D57EDC7"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2149B5D9"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鲁迅：《中国小说的历史的变迁》，《鲁迅全集》第9册，北京：人民文学出版社，1981年，第325页。</w:t>
      </w:r>
    </w:p>
    <w:p w14:paraId="23D21568"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文集责任者与析出文献责任者为同一作者时，可用省去责任者。</w:t>
      </w:r>
    </w:p>
    <w:p w14:paraId="4D8C0CE0"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10D6BBE7"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唐振常：《师承与变法》，《识史集》，上海：上海古籍出版社，1997年，第65页。</w:t>
      </w:r>
    </w:p>
    <w:p w14:paraId="18F34E2F" w14:textId="77777777" w:rsidR="007D24A0" w:rsidRPr="007D24A0" w:rsidRDefault="007D24A0" w:rsidP="007D24A0">
      <w:pPr>
        <w:spacing w:line="360" w:lineRule="auto"/>
        <w:rPr>
          <w:rFonts w:ascii="SimSun" w:hAnsi="SimSun"/>
          <w:sz w:val="24"/>
          <w:szCs w:val="24"/>
        </w:rPr>
      </w:pPr>
    </w:p>
    <w:p w14:paraId="490B1C91"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4A53C90E"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李志刚：《早期传教士在港创办的第一份中文报刊</w:t>
      </w:r>
      <w:r w:rsidRPr="007D24A0">
        <w:rPr>
          <w:rFonts w:ascii="KaiTi" w:eastAsia="KaiTi" w:hAnsi="KaiTi" w:cs="SimSun" w:hint="eastAsia"/>
          <w:sz w:val="24"/>
          <w:szCs w:val="24"/>
        </w:rPr>
        <w:t>――</w:t>
      </w:r>
      <w:r w:rsidRPr="007D24A0">
        <w:rPr>
          <w:rFonts w:ascii="KaiTi" w:eastAsia="KaiTi" w:hAnsi="KaiTi" w:hint="eastAsia"/>
          <w:sz w:val="24"/>
          <w:szCs w:val="24"/>
        </w:rPr>
        <w:t>遐迩贯珍&gt;》，《基督教与近代中国文化》，台北：宇宙光出版社，1989年，第135－143页。</w:t>
      </w:r>
    </w:p>
    <w:p w14:paraId="0B550AE3"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hint="eastAsia"/>
          <w:sz w:val="24"/>
          <w:szCs w:val="24"/>
        </w:rPr>
        <w:t>书信、档案资料等应标识析出文献的形成时间</w:t>
      </w:r>
      <w:r w:rsidRPr="007D24A0">
        <w:rPr>
          <w:rFonts w:ascii="SimSun" w:hAnsi="SimSun" w:cs="Courier New" w:hint="eastAsia"/>
          <w:sz w:val="24"/>
          <w:szCs w:val="24"/>
        </w:rPr>
        <w:t>。</w:t>
      </w:r>
    </w:p>
    <w:p w14:paraId="588F500D" w14:textId="77777777" w:rsidR="007D24A0" w:rsidRPr="007D24A0" w:rsidRDefault="007D24A0" w:rsidP="007D24A0">
      <w:pPr>
        <w:spacing w:line="360" w:lineRule="auto"/>
        <w:rPr>
          <w:rFonts w:ascii="SimSun" w:hAnsi="SimSun" w:cs="Courier New"/>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例1：</w:t>
      </w:r>
    </w:p>
    <w:p w14:paraId="0CFED54C"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蔡元培：《复孙毓修函》，1911年6月3日，见高平叔、王世儒编注：《蔡元培书信集》上册，杭州：浙江教育出版社，2000年，第99页。</w:t>
      </w:r>
    </w:p>
    <w:p w14:paraId="27497E88"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著作、文集的序言、前言有单独的标题，可作为析出文献来标注。</w:t>
      </w:r>
    </w:p>
    <w:p w14:paraId="4987EA8B"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例1：</w:t>
      </w:r>
    </w:p>
    <w:p w14:paraId="7E3DA6BE"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cs="Courier New" w:hint="eastAsia"/>
          <w:sz w:val="24"/>
          <w:szCs w:val="24"/>
        </w:rPr>
        <w:t>黄仁宇：《为什么称为“中国大历史”？——中文版自序》，《中国大历史》，北京：三联书店，1997年，第2页</w:t>
      </w:r>
      <w:r w:rsidRPr="007D24A0">
        <w:rPr>
          <w:rFonts w:ascii="KaiTi" w:eastAsia="KaiTi" w:hAnsi="KaiTi" w:hint="eastAsia"/>
          <w:sz w:val="24"/>
          <w:szCs w:val="24"/>
        </w:rPr>
        <w:t>。</w:t>
      </w:r>
    </w:p>
    <w:p w14:paraId="1E32B578"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例2：</w:t>
      </w:r>
    </w:p>
    <w:p w14:paraId="1A688C8B"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楼适夷：《读家书，想傅雷（代序）》，见傅敏编：《傅雷家书》（增补本），北京：三联书店，1988年，第2页。</w:t>
      </w:r>
    </w:p>
    <w:p w14:paraId="37E48311" w14:textId="77777777" w:rsidR="007D24A0" w:rsidRPr="007D24A0" w:rsidRDefault="007D24A0" w:rsidP="007D24A0">
      <w:pPr>
        <w:spacing w:line="360" w:lineRule="auto"/>
        <w:ind w:firstLineChars="200" w:firstLine="482"/>
        <w:rPr>
          <w:rFonts w:ascii="SimSun" w:hAnsi="SimSun" w:cs="Courier New"/>
          <w:sz w:val="24"/>
          <w:szCs w:val="24"/>
        </w:rPr>
      </w:pPr>
      <w:r w:rsidRPr="007D24A0">
        <w:rPr>
          <w:rFonts w:ascii="SimSun" w:hAnsi="SimSun" w:cs="Courier New" w:hint="eastAsia"/>
          <w:b/>
          <w:bCs/>
          <w:sz w:val="24"/>
          <w:szCs w:val="24"/>
        </w:rPr>
        <w:t>3.古籍</w:t>
      </w:r>
      <w:r w:rsidRPr="007D24A0">
        <w:rPr>
          <w:rFonts w:ascii="SimSun" w:hAnsi="SimSun" w:cs="Courier New" w:hint="eastAsia"/>
          <w:sz w:val="24"/>
          <w:szCs w:val="24"/>
        </w:rPr>
        <w:t>：</w:t>
      </w:r>
    </w:p>
    <w:p w14:paraId="54850375" w14:textId="77777777" w:rsidR="007D24A0" w:rsidRPr="007D24A0" w:rsidRDefault="007D24A0" w:rsidP="007D24A0">
      <w:pPr>
        <w:spacing w:line="360" w:lineRule="auto"/>
        <w:ind w:firstLineChars="150" w:firstLine="360"/>
        <w:rPr>
          <w:rFonts w:ascii="SimSun" w:hAnsi="SimSun" w:cs="Courier New"/>
          <w:sz w:val="24"/>
          <w:szCs w:val="24"/>
        </w:rPr>
      </w:pPr>
      <w:r w:rsidRPr="007D24A0">
        <w:rPr>
          <w:rFonts w:ascii="SimSun" w:hAnsi="SimSun" w:cs="Courier New" w:hint="eastAsia"/>
          <w:sz w:val="24"/>
          <w:szCs w:val="24"/>
        </w:rPr>
        <w:t>古籍既有传统的刻本、抄本，也有具有现代出版形式的标点本、整理本、影印本，情况比较复杂，可根据古籍形式的不同选择标注方式。</w:t>
      </w:r>
    </w:p>
    <w:p w14:paraId="0DE28902"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（1）抄本或刻本</w:t>
      </w:r>
    </w:p>
    <w:p w14:paraId="46AEBB9D"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hint="eastAsia"/>
          <w:sz w:val="24"/>
          <w:szCs w:val="24"/>
        </w:rPr>
        <w:t>标注顺序</w:t>
      </w:r>
      <w:r w:rsidRPr="007D24A0">
        <w:rPr>
          <w:rFonts w:ascii="SimSun" w:hAnsi="SimSun" w:cs="Courier New" w:hint="eastAsia"/>
          <w:sz w:val="24"/>
          <w:szCs w:val="24"/>
        </w:rPr>
        <w:t>：责任者与责任方式／文献题名（卷次、篇名、部类名）／版本／页码。其中篇名、部类名为选项。原刻本标注版本信息，页码有两面，标注时应注明，用a、b或上、下区分。</w:t>
      </w:r>
    </w:p>
    <w:p w14:paraId="38603E1E"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w:t>
      </w:r>
    </w:p>
    <w:p w14:paraId="5F3BD4B2"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hint="eastAsia"/>
          <w:sz w:val="24"/>
          <w:szCs w:val="24"/>
        </w:rPr>
        <w:t>姚际恒：《古今伪书考》卷三，光绪三年苏州文学山房活字本，第九页a。</w:t>
      </w:r>
    </w:p>
    <w:p w14:paraId="155B9BAA"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（2）标点本、整理本、影印本</w:t>
      </w:r>
    </w:p>
    <w:p w14:paraId="766F8AEB" w14:textId="77777777" w:rsidR="007D24A0" w:rsidRPr="007D24A0" w:rsidRDefault="007D24A0" w:rsidP="007D24A0">
      <w:pPr>
        <w:spacing w:line="360" w:lineRule="auto"/>
        <w:ind w:firstLineChars="150" w:firstLine="360"/>
        <w:rPr>
          <w:rFonts w:ascii="SimSun" w:hAnsi="SimSun" w:cs="Courier New"/>
          <w:sz w:val="24"/>
          <w:szCs w:val="24"/>
        </w:rPr>
      </w:pPr>
      <w:r w:rsidRPr="007D24A0">
        <w:rPr>
          <w:rFonts w:ascii="SimSun" w:hAnsi="SimSun" w:hint="eastAsia"/>
          <w:sz w:val="24"/>
          <w:szCs w:val="24"/>
        </w:rPr>
        <w:t>点校本、整理本、影印本古籍为现代出版形式，引用时可参照现代著作（包括析出文献）的标注方式，其标注顺序</w:t>
      </w:r>
      <w:r w:rsidRPr="007D24A0">
        <w:rPr>
          <w:rFonts w:ascii="SimSun" w:hAnsi="SimSun" w:cs="Courier New" w:hint="eastAsia"/>
          <w:sz w:val="24"/>
          <w:szCs w:val="24"/>
        </w:rPr>
        <w:t>：责任者与责任方式／文献题名（卷次、篇名、部类）（选项）／出版地点／出版者／出版时间／卷册、页码。</w:t>
      </w:r>
    </w:p>
    <w:p w14:paraId="3031421F"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作为文献题名的一部分，卷次、部类名及篇名应与原著保持一致，卷次用汉</w:t>
      </w:r>
      <w:r w:rsidRPr="007D24A0">
        <w:rPr>
          <w:rFonts w:ascii="SimSun" w:hAnsi="SimSun" w:hint="eastAsia"/>
          <w:sz w:val="24"/>
          <w:szCs w:val="24"/>
        </w:rPr>
        <w:lastRenderedPageBreak/>
        <w:t>字数字标识，部类名及篇名用书名号表示，其中不同层次可用中圆点隔开，原序号仍用汉字数字。</w:t>
      </w:r>
    </w:p>
    <w:p w14:paraId="6CC276B3"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点校本、整理本、影印本的卷册系根据现代印制需要划分的，与原文献卷次不同，为便于读者查找，也可置于页码之前（选项）。</w:t>
      </w:r>
    </w:p>
    <w:p w14:paraId="7B50B041"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hint="eastAsia"/>
          <w:sz w:val="24"/>
          <w:szCs w:val="24"/>
        </w:rPr>
        <w:t>点校本、整理本、影印本应标注现代出版信息（出版地点、出版者、出版时间），</w:t>
      </w:r>
      <w:r w:rsidRPr="007D24A0">
        <w:rPr>
          <w:rFonts w:ascii="SimSun" w:hAnsi="SimSun" w:cs="Courier New" w:hint="eastAsia"/>
          <w:sz w:val="24"/>
          <w:szCs w:val="24"/>
        </w:rPr>
        <w:t>也可在出版时间后注明“标点本”“影印本”等。页码通常为现在的印刷页码，用阿拉伯数字标识。</w:t>
      </w:r>
    </w:p>
    <w:p w14:paraId="618697EF"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例1:</w:t>
      </w:r>
    </w:p>
    <w:p w14:paraId="037FA271"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hint="eastAsia"/>
          <w:sz w:val="24"/>
          <w:szCs w:val="24"/>
        </w:rPr>
        <w:t>《清史稿》卷四八六《文苑三·吴汝纶传》，北京：中华书局，1977年标点本，第44册，第13444页。</w:t>
      </w:r>
    </w:p>
    <w:p w14:paraId="52876AC5"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例2:</w:t>
      </w:r>
    </w:p>
    <w:p w14:paraId="3017D75E"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屈大均：《广东新语》卷九《东莞城隍》，北京：中华书局，1985年标点本，第215页。</w:t>
      </w:r>
    </w:p>
    <w:p w14:paraId="1DADF5C9"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影印本古籍通常采用缩印的方式，为便于读者查找，也可标明上、中、下栏（选项）。</w:t>
      </w:r>
    </w:p>
    <w:p w14:paraId="35BAE22F"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w:t>
      </w:r>
    </w:p>
    <w:p w14:paraId="5D83E776"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杨钟羲：《雪桥诗话续集》卷五，沈阳：辽沈书社，1991年影印本，上册，第461页下栏。</w:t>
      </w:r>
    </w:p>
    <w:p w14:paraId="28537129"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常用基本典籍，官修大型典籍以及书名中含有作者姓名的文集可不标注作者，如《论语》、二十四史、《资治通鉴》《全唐文》《册府元龟》《明实录》《四库全书总目提要》《陶渊明集》等。</w:t>
      </w:r>
    </w:p>
    <w:p w14:paraId="2428FCD3"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5377F6B4"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《太平御览》卷六九</w:t>
      </w:r>
      <w:r w:rsidRPr="007D24A0">
        <w:rPr>
          <w:rFonts w:ascii="KaiTi" w:eastAsia="KaiTi" w:hAnsi="KaiTi" w:hint="eastAsia"/>
          <w:sz w:val="24"/>
          <w:szCs w:val="24"/>
        </w:rPr>
        <w:t>○</w:t>
      </w:r>
      <w:r w:rsidRPr="007D24A0">
        <w:rPr>
          <w:rFonts w:ascii="KaiTi" w:eastAsia="KaiTi" w:hAnsi="KaiTi" w:cs="Courier New" w:hint="eastAsia"/>
          <w:sz w:val="24"/>
          <w:szCs w:val="24"/>
        </w:rPr>
        <w:t>《服章部七》引《魏台访议》，北京：中华书局，1985年影印本，第3册，第3080页下栏。</w:t>
      </w:r>
    </w:p>
    <w:p w14:paraId="3C403F3E"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编年体典籍，如需要，可注出文字所属之年月甲子（日）。</w:t>
      </w:r>
    </w:p>
    <w:p w14:paraId="07C6FDED"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w:t>
      </w:r>
    </w:p>
    <w:p w14:paraId="78081CC0"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《资治通鉴》卷二○○○，唐高宗永徽六年十月乙卯，北京：中华书局，1956年标点本，第十四册，第6293页。</w:t>
      </w:r>
    </w:p>
    <w:p w14:paraId="6A43DFAB"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唐宋时期的地方志多系私人著作，可标注作者；明清以后的地方志一般不标</w:t>
      </w:r>
      <w:r w:rsidRPr="007D24A0">
        <w:rPr>
          <w:rFonts w:ascii="SimSun" w:hAnsi="SimSun" w:hint="eastAsia"/>
          <w:sz w:val="24"/>
          <w:szCs w:val="24"/>
        </w:rPr>
        <w:lastRenderedPageBreak/>
        <w:t>注作者，书名其前冠以修纂成书时的年代（年号）；民国地方志，在书名前冠加“民国”二字。新影印（缩印）的地方志可采用新页码。</w:t>
      </w:r>
    </w:p>
    <w:p w14:paraId="48E88EF1"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1CC09C01"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乾隆《嘉定县志》卷十二《风俗》，第七页a。</w:t>
      </w:r>
    </w:p>
    <w:p w14:paraId="242D8DC9"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02A50D13"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cs="Arial" w:hint="eastAsia"/>
          <w:sz w:val="24"/>
          <w:szCs w:val="24"/>
        </w:rPr>
        <w:t>万历《广东通志》卷十五《郡县志二·广州府·城池》,《稀见中国地方志汇刊》第42册,北京：中国书店，1992年，第367页。</w:t>
      </w:r>
    </w:p>
    <w:p w14:paraId="10F33619"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（3）古籍中的析出文献</w:t>
      </w:r>
    </w:p>
    <w:p w14:paraId="5D6F064B"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析出文献</w:t>
      </w:r>
      <w:r w:rsidRPr="007D24A0">
        <w:rPr>
          <w:rFonts w:ascii="SimSun" w:hAnsi="SimSun" w:hint="eastAsia"/>
          <w:sz w:val="24"/>
          <w:szCs w:val="24"/>
        </w:rPr>
        <w:t>：析出文献</w:t>
      </w:r>
      <w:r w:rsidRPr="007D24A0">
        <w:rPr>
          <w:rFonts w:ascii="SimSun" w:hAnsi="SimSun" w:cs="Courier New" w:hint="eastAsia"/>
          <w:sz w:val="24"/>
          <w:szCs w:val="24"/>
        </w:rPr>
        <w:t>责任者／析出文献题名／文集责任者与责任方式／文集题名／卷次／出版信息与版本／页码。</w:t>
      </w:r>
    </w:p>
    <w:p w14:paraId="07515858"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56B6ED6D"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管志道：《答屠仪部赤水丈书》，《续问辨牍》卷二，《四库全书存目丛书</w:t>
      </w:r>
      <w:r w:rsidRPr="007D24A0">
        <w:rPr>
          <w:rFonts w:ascii="KaiTi" w:eastAsia="KaiTi" w:hAnsi="KaiTi" w:cs="Arial" w:hint="eastAsia"/>
          <w:sz w:val="24"/>
          <w:szCs w:val="24"/>
        </w:rPr>
        <w:t>·</w:t>
      </w:r>
      <w:r w:rsidRPr="007D24A0">
        <w:rPr>
          <w:rFonts w:ascii="KaiTi" w:eastAsia="KaiTi" w:hAnsi="KaiTi" w:hint="eastAsia"/>
          <w:sz w:val="24"/>
          <w:szCs w:val="24"/>
        </w:rPr>
        <w:t>子部》第88册，济南：齐鲁书社，1997年，第73页。</w:t>
      </w:r>
    </w:p>
    <w:p w14:paraId="42BF570C"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417B4924"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hint="eastAsia"/>
          <w:sz w:val="24"/>
          <w:szCs w:val="24"/>
        </w:rPr>
        <w:t>何承矩：《上太宗论塘泊屯田之利》，载赵汝愚编：《宋名臣奏议》卷一○五，《文渊阁四库丛书》第432册，上海：上海古籍出版社，1987年，第284页。</w:t>
      </w:r>
    </w:p>
    <w:p w14:paraId="31B1C57E"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（4）引用古籍与夹注的使用</w:t>
      </w:r>
    </w:p>
    <w:p w14:paraId="0BF23D55"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正文中引用先秦诸子的著作或少量引用传统经典古籍中的语句，可适当使用夹注，而不用采用页下注的形式。一般只标书名和篇名，用中圆点连接，用圆括号括注，紧随引文之后。当然在正文中不宜多用夹注，二是夹注应尽量简短。</w:t>
      </w:r>
    </w:p>
    <w:p w14:paraId="67278F16" w14:textId="77777777" w:rsidR="007D24A0" w:rsidRPr="007D24A0" w:rsidRDefault="007D24A0" w:rsidP="007D24A0">
      <w:pPr>
        <w:spacing w:line="360" w:lineRule="auto"/>
        <w:ind w:firstLineChars="150" w:firstLine="336"/>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例1：</w:t>
      </w:r>
    </w:p>
    <w:p w14:paraId="73A93B72" w14:textId="77777777" w:rsidR="007D24A0" w:rsidRPr="007D24A0" w:rsidRDefault="007D24A0" w:rsidP="007D24A0">
      <w:pPr>
        <w:spacing w:line="360" w:lineRule="auto"/>
        <w:ind w:firstLineChars="150" w:firstLine="360"/>
        <w:rPr>
          <w:rFonts w:ascii="KaiTi" w:eastAsia="KaiTi" w:hAnsi="KaiTi" w:cs="Courier New"/>
          <w:sz w:val="24"/>
          <w:szCs w:val="24"/>
        </w:rPr>
      </w:pPr>
      <w:r w:rsidRPr="007D24A0">
        <w:rPr>
          <w:rFonts w:ascii="KaiTi" w:eastAsia="KaiTi" w:hAnsi="KaiTi" w:cs="Courier New" w:hint="eastAsia"/>
          <w:sz w:val="24"/>
          <w:szCs w:val="24"/>
        </w:rPr>
        <w:t>庄子说惠子非常博学，“惠施多方，其书五车。”（《庄子·天下》）</w:t>
      </w:r>
    </w:p>
    <w:p w14:paraId="3E5A794D" w14:textId="77777777" w:rsidR="007D24A0" w:rsidRPr="007D24A0" w:rsidRDefault="007D24A0" w:rsidP="007D24A0">
      <w:pPr>
        <w:spacing w:line="360" w:lineRule="auto"/>
        <w:ind w:firstLineChars="150" w:firstLine="336"/>
        <w:rPr>
          <w:rFonts w:ascii="SimSun" w:hAnsi="SimSun" w:cs="Courier New"/>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例2</w:t>
      </w:r>
    </w:p>
    <w:p w14:paraId="2FEC669A"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天神所具有道德，也就是“保民”、“裕民”的道德；天神所具有的道德意志，代表的是人民的意志。这也就是所谓“天聪明自我民聪明，天明畏自我民明畏”（《尚书·皋陶谟》），“民之所欲，天必从之”（《尚书·泰誓》）。</w:t>
      </w:r>
    </w:p>
    <w:p w14:paraId="1B28DD71" w14:textId="77777777" w:rsidR="007D24A0" w:rsidRPr="007D24A0" w:rsidRDefault="007D24A0" w:rsidP="007D24A0">
      <w:pPr>
        <w:spacing w:line="360" w:lineRule="auto"/>
        <w:ind w:firstLineChars="200" w:firstLine="482"/>
        <w:rPr>
          <w:rFonts w:ascii="SimSun" w:hAnsi="SimSun" w:cs="Courier New"/>
          <w:b/>
          <w:bCs/>
          <w:sz w:val="24"/>
          <w:szCs w:val="24"/>
        </w:rPr>
      </w:pPr>
      <w:r w:rsidRPr="007D24A0">
        <w:rPr>
          <w:rFonts w:ascii="SimSun" w:hAnsi="SimSun" w:cs="Courier New" w:hint="eastAsia"/>
          <w:b/>
          <w:bCs/>
          <w:sz w:val="24"/>
          <w:szCs w:val="24"/>
        </w:rPr>
        <w:t>4．连续出版物（期刊、报纸等）</w:t>
      </w:r>
    </w:p>
    <w:p w14:paraId="09C3F412"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（1）期刊：责任者</w:t>
      </w:r>
      <w:r w:rsidRPr="007D24A0">
        <w:rPr>
          <w:rFonts w:ascii="SimSun" w:hAnsi="SimSun" w:cs="Courier New" w:hint="eastAsia"/>
          <w:sz w:val="24"/>
          <w:szCs w:val="24"/>
        </w:rPr>
        <w:t>／</w:t>
      </w:r>
      <w:r w:rsidRPr="007D24A0">
        <w:rPr>
          <w:rFonts w:ascii="SimSun" w:hAnsi="SimSun" w:hint="eastAsia"/>
          <w:sz w:val="24"/>
          <w:szCs w:val="24"/>
        </w:rPr>
        <w:t>文章题名</w:t>
      </w:r>
      <w:r w:rsidRPr="007D24A0">
        <w:rPr>
          <w:rFonts w:ascii="SimSun" w:hAnsi="SimSun" w:cs="Courier New" w:hint="eastAsia"/>
          <w:sz w:val="24"/>
          <w:szCs w:val="24"/>
        </w:rPr>
        <w:t>／</w:t>
      </w:r>
      <w:r w:rsidRPr="007D24A0">
        <w:rPr>
          <w:rFonts w:ascii="SimSun" w:hAnsi="SimSun" w:hint="eastAsia"/>
          <w:sz w:val="24"/>
          <w:szCs w:val="24"/>
        </w:rPr>
        <w:t>期刊题名</w:t>
      </w:r>
      <w:r w:rsidRPr="007D24A0">
        <w:rPr>
          <w:rFonts w:ascii="SimSun" w:hAnsi="SimSun" w:cs="Courier New" w:hint="eastAsia"/>
          <w:sz w:val="24"/>
          <w:szCs w:val="24"/>
        </w:rPr>
        <w:t>／</w:t>
      </w:r>
      <w:r w:rsidRPr="007D24A0">
        <w:rPr>
          <w:rFonts w:ascii="SimSun" w:hAnsi="SimSun" w:hint="eastAsia"/>
          <w:sz w:val="24"/>
          <w:szCs w:val="24"/>
        </w:rPr>
        <w:t>出版年、卷期或出版日期。引用中国大陆以外出版的中文期刊时，应在期刊题名后括注出版地。如果需要，引</w:t>
      </w:r>
      <w:r w:rsidRPr="007D24A0">
        <w:rPr>
          <w:rFonts w:ascii="SimSun" w:hAnsi="SimSun" w:hint="eastAsia"/>
          <w:sz w:val="24"/>
          <w:szCs w:val="24"/>
        </w:rPr>
        <w:lastRenderedPageBreak/>
        <w:t>用期刊时，也可标注页码。</w:t>
      </w:r>
    </w:p>
    <w:p w14:paraId="3D771CF9"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1D9F4C68"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吴艳红：《明代流刑考》，《历史研究》2000年第6期。</w:t>
      </w:r>
    </w:p>
    <w:p w14:paraId="0343045B"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3D0AD0FB"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吴虞：《家族制度为专制主义之根据论》，《新青年》第2卷第6号，1917年2月1日。</w:t>
      </w:r>
    </w:p>
    <w:p w14:paraId="62FFF052"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例3：</w:t>
      </w:r>
    </w:p>
    <w:p w14:paraId="0FB3610B"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王晴佳：《中国二十世纪史学与西方——论现代历史意识的产生》，《新史学》（台北）第9卷第1期，1998年3月，第58页。</w:t>
      </w:r>
    </w:p>
    <w:p w14:paraId="6F9EA202"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hint="eastAsia"/>
          <w:sz w:val="24"/>
          <w:szCs w:val="24"/>
        </w:rPr>
        <w:t>中国大陆以外出版的中文期刊应在刊名后括注出版地点；</w:t>
      </w:r>
      <w:r w:rsidRPr="007D24A0">
        <w:rPr>
          <w:rFonts w:ascii="SimSun" w:hAnsi="SimSun" w:cs="Courier New" w:hint="eastAsia"/>
          <w:sz w:val="24"/>
          <w:szCs w:val="24"/>
        </w:rPr>
        <w:t>刊名与其他期刊相同，也可括注出版地点，附于刊名后，以示区别。</w:t>
      </w:r>
    </w:p>
    <w:p w14:paraId="33BA1DB7"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0612BA0B"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魏丽英：《论近代西北人口波动的主要原因》，《社会科学》（兰州）1990年第6期。</w:t>
      </w:r>
    </w:p>
    <w:p w14:paraId="1777F331"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6FB9654E"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费成康：《葡萄牙人如何进入澳门问题辨证》，《社会科学》（上海）1999年第9期。</w:t>
      </w:r>
    </w:p>
    <w:p w14:paraId="36705E9E"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例3:</w:t>
      </w:r>
    </w:p>
    <w:p w14:paraId="0FEAA1DA"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董一沙：《回忆父亲董希文》，《传记文学》（北京）2001年第3期。</w:t>
      </w:r>
    </w:p>
    <w:p w14:paraId="374FE27E"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例4：</w:t>
      </w:r>
    </w:p>
    <w:p w14:paraId="0EB0BB64"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李济：《创办史语所与支持安阳考古工作的贡献》，《传记文学》（台北）第28卷第1期，1976年1月。</w:t>
      </w:r>
    </w:p>
    <w:p w14:paraId="2D11A6F9" w14:textId="77777777" w:rsidR="007D24A0" w:rsidRPr="007D24A0" w:rsidRDefault="007D24A0" w:rsidP="007D24A0">
      <w:pPr>
        <w:spacing w:line="360" w:lineRule="auto"/>
        <w:ind w:rightChars="13" w:right="27" w:firstLineChars="200" w:firstLine="480"/>
        <w:rPr>
          <w:rFonts w:ascii="SimSun" w:hAnsi="SimSun"/>
          <w:sz w:val="24"/>
          <w:szCs w:val="24"/>
        </w:rPr>
      </w:pPr>
      <w:r w:rsidRPr="007D24A0">
        <w:rPr>
          <w:rFonts w:ascii="SimSun" w:hAnsi="SimSun" w:hint="eastAsia"/>
          <w:sz w:val="24"/>
          <w:szCs w:val="24"/>
        </w:rPr>
        <w:t>同一种期刊有两个以上的版别时，引用时须注明版别。</w:t>
      </w:r>
    </w:p>
    <w:p w14:paraId="193F686A"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309568B3"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黄义豪：《评黄龟年四劾秦桧》，《福建论坛》（文史哲版）1997年第3期。</w:t>
      </w:r>
    </w:p>
    <w:p w14:paraId="6EDE6BB9"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示例2：</w:t>
      </w:r>
    </w:p>
    <w:p w14:paraId="65D78A19"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苏振芳：《新加坡推行儒家伦理道德教育的社会学思考》，《福建论坛》  （经济社会版）1996年第3期。</w:t>
      </w:r>
    </w:p>
    <w:p w14:paraId="18D9BE85" w14:textId="77777777" w:rsidR="007D24A0" w:rsidRPr="007D24A0" w:rsidRDefault="007D24A0" w:rsidP="007D24A0">
      <w:pPr>
        <w:spacing w:line="360" w:lineRule="auto"/>
        <w:ind w:firstLineChars="200" w:firstLine="480"/>
        <w:rPr>
          <w:rFonts w:ascii="SimSun" w:hAnsi="SimSun" w:cs="Arial"/>
          <w:bCs/>
          <w:sz w:val="24"/>
          <w:szCs w:val="24"/>
        </w:rPr>
      </w:pPr>
      <w:r w:rsidRPr="007D24A0">
        <w:rPr>
          <w:rFonts w:ascii="SimSun" w:hAnsi="SimSun" w:cs="Arial" w:hint="eastAsia"/>
          <w:bCs/>
          <w:sz w:val="24"/>
          <w:szCs w:val="24"/>
        </w:rPr>
        <w:t>示例3：</w:t>
      </w:r>
    </w:p>
    <w:p w14:paraId="746EBB32" w14:textId="77777777" w:rsidR="007D24A0" w:rsidRPr="007D24A0" w:rsidRDefault="007D24A0" w:rsidP="007D24A0">
      <w:pPr>
        <w:spacing w:line="360" w:lineRule="auto"/>
        <w:ind w:firstLineChars="200" w:firstLine="480"/>
        <w:rPr>
          <w:rFonts w:ascii="KaiTi" w:eastAsia="KaiTi" w:hAnsi="KaiTi" w:cs="Arial"/>
          <w:sz w:val="24"/>
          <w:szCs w:val="24"/>
        </w:rPr>
      </w:pPr>
      <w:r w:rsidRPr="007D24A0">
        <w:rPr>
          <w:rFonts w:ascii="KaiTi" w:eastAsia="KaiTi" w:hAnsi="KaiTi" w:cs="Arial" w:hint="eastAsia"/>
          <w:sz w:val="24"/>
          <w:szCs w:val="24"/>
        </w:rPr>
        <w:lastRenderedPageBreak/>
        <w:t>叶明勇：《英国议会圈地及其影响》，《武汉大学学报》（人文科学版）2001年第2期。</w:t>
      </w:r>
    </w:p>
    <w:p w14:paraId="571066EC" w14:textId="77777777" w:rsidR="007D24A0" w:rsidRPr="007D24A0" w:rsidRDefault="007D24A0" w:rsidP="007D24A0">
      <w:pPr>
        <w:spacing w:line="360" w:lineRule="auto"/>
        <w:ind w:firstLineChars="200" w:firstLine="480"/>
        <w:rPr>
          <w:rFonts w:ascii="SimSun" w:hAnsi="SimSun" w:cs="Arial"/>
          <w:bCs/>
          <w:sz w:val="24"/>
          <w:szCs w:val="24"/>
        </w:rPr>
      </w:pPr>
      <w:r w:rsidRPr="007D24A0">
        <w:rPr>
          <w:rFonts w:ascii="SimSun" w:hAnsi="SimSun" w:cs="Arial" w:hint="eastAsia"/>
          <w:bCs/>
          <w:sz w:val="24"/>
          <w:szCs w:val="24"/>
        </w:rPr>
        <w:t>示例4;</w:t>
      </w:r>
    </w:p>
    <w:p w14:paraId="2B494C05" w14:textId="77777777" w:rsidR="007D24A0" w:rsidRPr="007D24A0" w:rsidRDefault="007D24A0" w:rsidP="007D24A0">
      <w:pPr>
        <w:spacing w:line="360" w:lineRule="auto"/>
        <w:ind w:firstLineChars="200" w:firstLine="480"/>
        <w:rPr>
          <w:rFonts w:ascii="KaiTi" w:eastAsia="KaiTi" w:hAnsi="KaiTi" w:cs="Arial"/>
          <w:sz w:val="24"/>
          <w:szCs w:val="24"/>
        </w:rPr>
      </w:pPr>
      <w:r w:rsidRPr="007D24A0">
        <w:rPr>
          <w:rFonts w:ascii="KaiTi" w:eastAsia="KaiTi" w:hAnsi="KaiTi" w:cs="Arial" w:hint="eastAsia"/>
          <w:bCs/>
          <w:sz w:val="24"/>
          <w:szCs w:val="24"/>
        </w:rPr>
        <w:t>倪素香：《</w:t>
      </w:r>
      <w:r w:rsidRPr="007D24A0">
        <w:rPr>
          <w:rFonts w:ascii="KaiTi" w:eastAsia="KaiTi" w:hAnsi="KaiTi" w:cs="Arial" w:hint="eastAsia"/>
          <w:sz w:val="24"/>
          <w:szCs w:val="24"/>
        </w:rPr>
        <w:t>德育学科的比较研究与理论探索》，《武汉大学学报》（社会科学版）2002年第4期。</w:t>
      </w:r>
    </w:p>
    <w:p w14:paraId="35F61EF4" w14:textId="77777777" w:rsidR="007D24A0" w:rsidRPr="007D24A0" w:rsidRDefault="007D24A0" w:rsidP="007D24A0">
      <w:pPr>
        <w:spacing w:line="360" w:lineRule="auto"/>
        <w:ind w:firstLineChars="150" w:firstLine="360"/>
        <w:rPr>
          <w:rFonts w:ascii="SimSun" w:hAnsi="SimSun"/>
          <w:sz w:val="24"/>
          <w:szCs w:val="24"/>
        </w:rPr>
      </w:pPr>
      <w:r w:rsidRPr="007D24A0">
        <w:rPr>
          <w:rFonts w:ascii="SimSun" w:hAnsi="SimSun" w:hint="eastAsia"/>
          <w:sz w:val="24"/>
          <w:szCs w:val="24"/>
        </w:rPr>
        <w:t>（2）报纸：责任者</w:t>
      </w:r>
      <w:r w:rsidRPr="007D24A0">
        <w:rPr>
          <w:rFonts w:ascii="SimSun" w:hAnsi="SimSun" w:cs="Courier New" w:hint="eastAsia"/>
          <w:sz w:val="24"/>
          <w:szCs w:val="24"/>
        </w:rPr>
        <w:t>／</w:t>
      </w:r>
      <w:r w:rsidRPr="007D24A0">
        <w:rPr>
          <w:rFonts w:ascii="SimSun" w:hAnsi="SimSun" w:hint="eastAsia"/>
          <w:sz w:val="24"/>
          <w:szCs w:val="24"/>
        </w:rPr>
        <w:t>文章题名</w:t>
      </w:r>
      <w:r w:rsidRPr="007D24A0">
        <w:rPr>
          <w:rFonts w:ascii="SimSun" w:hAnsi="SimSun" w:cs="Courier New" w:hint="eastAsia"/>
          <w:sz w:val="24"/>
          <w:szCs w:val="24"/>
        </w:rPr>
        <w:t>／</w:t>
      </w:r>
      <w:r w:rsidRPr="007D24A0">
        <w:rPr>
          <w:rFonts w:ascii="SimSun" w:hAnsi="SimSun" w:hint="eastAsia"/>
          <w:sz w:val="24"/>
          <w:szCs w:val="24"/>
        </w:rPr>
        <w:t>报纸题名</w:t>
      </w:r>
      <w:r w:rsidRPr="007D24A0">
        <w:rPr>
          <w:rFonts w:ascii="SimSun" w:hAnsi="SimSun" w:cs="Courier New" w:hint="eastAsia"/>
          <w:sz w:val="24"/>
          <w:szCs w:val="24"/>
        </w:rPr>
        <w:t>／</w:t>
      </w:r>
      <w:r w:rsidRPr="007D24A0">
        <w:rPr>
          <w:rFonts w:ascii="SimSun" w:hAnsi="SimSun" w:hint="eastAsia"/>
          <w:sz w:val="24"/>
          <w:szCs w:val="24"/>
        </w:rPr>
        <w:t>出版日期或卷期（附出版年月）</w:t>
      </w:r>
      <w:r w:rsidRPr="007D24A0">
        <w:rPr>
          <w:rFonts w:ascii="SimSun" w:hAnsi="SimSun" w:cs="Courier New" w:hint="eastAsia"/>
          <w:sz w:val="24"/>
          <w:szCs w:val="24"/>
        </w:rPr>
        <w:t>／</w:t>
      </w:r>
      <w:r w:rsidRPr="007D24A0">
        <w:rPr>
          <w:rFonts w:ascii="SimSun" w:hAnsi="SimSun" w:hint="eastAsia"/>
          <w:sz w:val="24"/>
          <w:szCs w:val="24"/>
        </w:rPr>
        <w:t>版次。</w:t>
      </w:r>
    </w:p>
    <w:p w14:paraId="3E0E46E4"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44C260E9"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李眉：《李劼人轶事》，《四川工人日报》1986年8月22日，第2版。</w:t>
      </w:r>
    </w:p>
    <w:p w14:paraId="700C9A71" w14:textId="77777777" w:rsidR="007D24A0" w:rsidRPr="007D24A0" w:rsidRDefault="007D24A0" w:rsidP="007D24A0">
      <w:pPr>
        <w:spacing w:line="360" w:lineRule="auto"/>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2E8DCC0D"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《女子参政同盟会宣言书》，《时报》1912年4月10日，第4版。</w:t>
      </w:r>
    </w:p>
    <w:p w14:paraId="10D9D0E3"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早期报纸无版次，可标识栏目及页码（选注项）。</w:t>
      </w:r>
    </w:p>
    <w:p w14:paraId="0F2F56DB"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w:t>
      </w:r>
    </w:p>
    <w:p w14:paraId="2623C07D" w14:textId="77777777" w:rsidR="007D24A0" w:rsidRPr="007D24A0" w:rsidRDefault="007D24A0" w:rsidP="007D24A0">
      <w:pPr>
        <w:spacing w:line="360" w:lineRule="auto"/>
        <w:ind w:firstLineChars="200" w:firstLine="480"/>
        <w:rPr>
          <w:rFonts w:ascii="KaiTi" w:eastAsia="KaiTi" w:hAnsi="KaiTi" w:cs="Courier New"/>
          <w:b/>
          <w:bCs/>
          <w:sz w:val="24"/>
          <w:szCs w:val="24"/>
        </w:rPr>
      </w:pPr>
      <w:r w:rsidRPr="007D24A0">
        <w:rPr>
          <w:rFonts w:ascii="KaiTi" w:eastAsia="KaiTi" w:hAnsi="KaiTi" w:hint="eastAsia"/>
          <w:sz w:val="24"/>
          <w:szCs w:val="24"/>
        </w:rPr>
        <w:t>《四川会议厅暂行章程》，《广益丛报》第8年第19期，1910年9月3日，“新章”，第1—2页。</w:t>
      </w:r>
    </w:p>
    <w:p w14:paraId="449C4657" w14:textId="77777777" w:rsidR="007D24A0" w:rsidRPr="007D24A0" w:rsidRDefault="007D24A0" w:rsidP="007D24A0">
      <w:pPr>
        <w:spacing w:line="360" w:lineRule="auto"/>
        <w:ind w:firstLineChars="200" w:firstLine="482"/>
        <w:rPr>
          <w:rFonts w:ascii="SimSun" w:hAnsi="SimSun" w:cs="Courier New"/>
          <w:b/>
          <w:bCs/>
          <w:sz w:val="24"/>
          <w:szCs w:val="24"/>
        </w:rPr>
      </w:pPr>
      <w:r w:rsidRPr="007D24A0">
        <w:rPr>
          <w:rFonts w:ascii="SimSun" w:hAnsi="SimSun" w:cs="Courier New" w:hint="eastAsia"/>
          <w:b/>
          <w:bCs/>
          <w:sz w:val="24"/>
          <w:szCs w:val="24"/>
        </w:rPr>
        <w:t>5．外文文献</w:t>
      </w:r>
    </w:p>
    <w:p w14:paraId="3A4343A9"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引证外文文献，原则上以该文种通行的引证标注方式为准。</w:t>
      </w:r>
    </w:p>
    <w:p w14:paraId="41876BE2"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引证英文文献的标注项目与顺序与中文相同。责任者与题名间用英文逗号，著作题名为斜体，析出文献题名为正体加英文引号，出版日期为全数字标注，责任方式、卷册、页码等用英文缩略方式。</w:t>
      </w:r>
    </w:p>
    <w:p w14:paraId="03428D81"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2B3B3D85"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sz w:val="24"/>
          <w:szCs w:val="24"/>
        </w:rPr>
        <w:t xml:space="preserve">Randolph </w:t>
      </w:r>
      <w:proofErr w:type="spellStart"/>
      <w:r w:rsidRPr="007D24A0">
        <w:rPr>
          <w:rFonts w:ascii="SimSun" w:hAnsi="SimSun"/>
          <w:sz w:val="24"/>
          <w:szCs w:val="24"/>
        </w:rPr>
        <w:t>Starn</w:t>
      </w:r>
      <w:proofErr w:type="spellEnd"/>
      <w:r w:rsidRPr="007D24A0">
        <w:rPr>
          <w:rFonts w:ascii="SimSun" w:hAnsi="SimSun"/>
          <w:sz w:val="24"/>
          <w:szCs w:val="24"/>
        </w:rPr>
        <w:t xml:space="preserve"> and Loren Partridge, </w:t>
      </w:r>
      <w:r w:rsidRPr="007D24A0">
        <w:rPr>
          <w:rFonts w:ascii="SimSun" w:hAnsi="SimSun"/>
          <w:i/>
          <w:iCs/>
          <w:sz w:val="24"/>
          <w:szCs w:val="24"/>
        </w:rPr>
        <w:t>The Arts of Power: Three Halls of State in Italy, 1300-1600</w:t>
      </w:r>
      <w:r w:rsidRPr="007D24A0">
        <w:rPr>
          <w:rFonts w:ascii="SimSun" w:hAnsi="SimSun"/>
          <w:sz w:val="24"/>
          <w:szCs w:val="24"/>
        </w:rPr>
        <w:t xml:space="preserve">, Berkeley:  California University </w:t>
      </w:r>
      <w:r w:rsidRPr="007D24A0">
        <w:rPr>
          <w:rFonts w:ascii="SimSun" w:hAnsi="SimSun" w:hint="eastAsia"/>
          <w:sz w:val="24"/>
          <w:szCs w:val="24"/>
        </w:rPr>
        <w:t>Press</w:t>
      </w:r>
      <w:r w:rsidRPr="007D24A0">
        <w:rPr>
          <w:rFonts w:ascii="SimSun" w:hAnsi="SimSun"/>
          <w:sz w:val="24"/>
          <w:szCs w:val="24"/>
        </w:rPr>
        <w:t>, 1992, pp. 19-28.</w:t>
      </w:r>
    </w:p>
    <w:p w14:paraId="1AB3DEE1"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017A13C4"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sz w:val="24"/>
          <w:szCs w:val="24"/>
        </w:rPr>
        <w:t xml:space="preserve">M. Polo, </w:t>
      </w:r>
      <w:r w:rsidRPr="007D24A0">
        <w:rPr>
          <w:rFonts w:ascii="SimSun" w:hAnsi="SimSun"/>
          <w:i/>
          <w:iCs/>
          <w:sz w:val="24"/>
          <w:szCs w:val="24"/>
        </w:rPr>
        <w:t xml:space="preserve">The Travels of Marco Polo, </w:t>
      </w:r>
      <w:r w:rsidRPr="007D24A0">
        <w:rPr>
          <w:rFonts w:ascii="SimSun" w:hAnsi="SimSun"/>
          <w:sz w:val="24"/>
          <w:szCs w:val="24"/>
        </w:rPr>
        <w:t>trans</w:t>
      </w:r>
      <w:r w:rsidRPr="007D24A0">
        <w:rPr>
          <w:rFonts w:ascii="SimSun" w:hAnsi="SimSun" w:hint="eastAsia"/>
          <w:sz w:val="24"/>
          <w:szCs w:val="24"/>
        </w:rPr>
        <w:t>.by</w:t>
      </w:r>
      <w:r w:rsidRPr="007D24A0">
        <w:rPr>
          <w:rFonts w:ascii="SimSun" w:hAnsi="SimSun"/>
          <w:sz w:val="24"/>
          <w:szCs w:val="24"/>
        </w:rPr>
        <w:t xml:space="preserve"> William Marsden, Hertfordshire: Cumberland House, 1997, pp. 55, 88.</w:t>
      </w:r>
    </w:p>
    <w:p w14:paraId="4354F841"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例3</w:t>
      </w:r>
    </w:p>
    <w:p w14:paraId="2DC4BC58"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sz w:val="24"/>
          <w:szCs w:val="24"/>
        </w:rPr>
        <w:t xml:space="preserve">T. H. Aston and C. H. E. </w:t>
      </w:r>
      <w:proofErr w:type="spellStart"/>
      <w:r w:rsidRPr="007D24A0">
        <w:rPr>
          <w:rFonts w:ascii="SimSun" w:hAnsi="SimSun"/>
          <w:sz w:val="24"/>
          <w:szCs w:val="24"/>
        </w:rPr>
        <w:t>Phlipin</w:t>
      </w:r>
      <w:proofErr w:type="spellEnd"/>
      <w:r w:rsidRPr="007D24A0">
        <w:rPr>
          <w:rFonts w:ascii="SimSun" w:hAnsi="SimSun"/>
          <w:sz w:val="24"/>
          <w:szCs w:val="24"/>
        </w:rPr>
        <w:t xml:space="preserve"> (eds.), </w:t>
      </w:r>
      <w:r w:rsidRPr="007D24A0">
        <w:rPr>
          <w:rFonts w:ascii="SimSun" w:hAnsi="SimSun"/>
          <w:i/>
          <w:iCs/>
          <w:sz w:val="24"/>
          <w:szCs w:val="24"/>
        </w:rPr>
        <w:t>The Brenner Debate</w:t>
      </w:r>
      <w:r w:rsidRPr="007D24A0">
        <w:rPr>
          <w:rFonts w:ascii="SimSun" w:hAnsi="SimSun"/>
          <w:sz w:val="24"/>
          <w:szCs w:val="24"/>
        </w:rPr>
        <w:t xml:space="preserve">. Cambridge: </w:t>
      </w:r>
      <w:r w:rsidRPr="007D24A0">
        <w:rPr>
          <w:rFonts w:ascii="SimSun" w:hAnsi="SimSun"/>
          <w:sz w:val="24"/>
          <w:szCs w:val="24"/>
        </w:rPr>
        <w:lastRenderedPageBreak/>
        <w:t xml:space="preserve">Cambridge University Press, 1985, p. 35. </w:t>
      </w:r>
    </w:p>
    <w:p w14:paraId="6F7A3C08"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例4</w:t>
      </w:r>
    </w:p>
    <w:p w14:paraId="3F5DE45C" w14:textId="77777777" w:rsidR="007D24A0" w:rsidRPr="007D24A0" w:rsidRDefault="007D24A0" w:rsidP="007D24A0">
      <w:pPr>
        <w:spacing w:line="360" w:lineRule="auto"/>
        <w:ind w:firstLineChars="200" w:firstLine="480"/>
        <w:rPr>
          <w:rFonts w:ascii="SimSun" w:hAnsi="SimSun"/>
          <w:sz w:val="24"/>
          <w:szCs w:val="24"/>
        </w:rPr>
      </w:pPr>
      <w:proofErr w:type="spellStart"/>
      <w:r w:rsidRPr="007D24A0">
        <w:rPr>
          <w:rFonts w:ascii="SimSun" w:hAnsi="SimSun"/>
          <w:sz w:val="24"/>
          <w:szCs w:val="24"/>
        </w:rPr>
        <w:t>R.S.Schfield</w:t>
      </w:r>
      <w:proofErr w:type="spellEnd"/>
      <w:r w:rsidRPr="007D24A0">
        <w:rPr>
          <w:rFonts w:ascii="SimSun" w:hAnsi="SimSun"/>
          <w:sz w:val="24"/>
          <w:szCs w:val="24"/>
        </w:rPr>
        <w:t>, “The Impact of Scarcity and Plenty on Population Change in England</w:t>
      </w:r>
      <w:r w:rsidRPr="007D24A0">
        <w:rPr>
          <w:rFonts w:ascii="SimSun" w:hAnsi="SimSun" w:hint="eastAsia"/>
          <w:sz w:val="24"/>
          <w:szCs w:val="24"/>
        </w:rPr>
        <w:t>,</w:t>
      </w:r>
      <w:r w:rsidRPr="007D24A0">
        <w:rPr>
          <w:rFonts w:ascii="SimSun" w:hAnsi="SimSun"/>
          <w:sz w:val="24"/>
          <w:szCs w:val="24"/>
        </w:rPr>
        <w:t xml:space="preserve">” in R. </w:t>
      </w:r>
      <w:proofErr w:type="spellStart"/>
      <w:r w:rsidRPr="007D24A0">
        <w:rPr>
          <w:rFonts w:ascii="SimSun" w:hAnsi="SimSun"/>
          <w:sz w:val="24"/>
          <w:szCs w:val="24"/>
        </w:rPr>
        <w:t>I.Rotberg</w:t>
      </w:r>
      <w:proofErr w:type="spellEnd"/>
      <w:r w:rsidRPr="007D24A0">
        <w:rPr>
          <w:rFonts w:ascii="SimSun" w:hAnsi="SimSun"/>
          <w:sz w:val="24"/>
          <w:szCs w:val="24"/>
        </w:rPr>
        <w:t xml:space="preserve"> and T. K. Rabb (eds.), </w:t>
      </w:r>
      <w:r w:rsidRPr="007D24A0">
        <w:rPr>
          <w:rFonts w:ascii="SimSun" w:hAnsi="SimSun"/>
          <w:i/>
          <w:iCs/>
          <w:sz w:val="24"/>
          <w:szCs w:val="24"/>
        </w:rPr>
        <w:t xml:space="preserve">Hunger and History: The Impact of Changing Food Production and Consumption Pattern on </w:t>
      </w:r>
      <w:proofErr w:type="spellStart"/>
      <w:r w:rsidRPr="007D24A0">
        <w:rPr>
          <w:rFonts w:ascii="SimSun" w:hAnsi="SimSun"/>
          <w:i/>
          <w:iCs/>
          <w:sz w:val="24"/>
          <w:szCs w:val="24"/>
        </w:rPr>
        <w:t>Societ</w:t>
      </w:r>
      <w:proofErr w:type="spellEnd"/>
      <w:r w:rsidRPr="007D24A0">
        <w:rPr>
          <w:rFonts w:ascii="SimSun" w:hAnsi="SimSun" w:hint="eastAsia"/>
          <w:i/>
          <w:iCs/>
          <w:sz w:val="24"/>
          <w:szCs w:val="24"/>
        </w:rPr>
        <w:t>，</w:t>
      </w:r>
      <w:r w:rsidRPr="007D24A0">
        <w:rPr>
          <w:rFonts w:ascii="SimSun" w:hAnsi="SimSun"/>
          <w:sz w:val="24"/>
          <w:szCs w:val="24"/>
        </w:rPr>
        <w:t>Cambridge: Cambridge University Press, 1983, p. 79.</w:t>
      </w:r>
    </w:p>
    <w:p w14:paraId="100E752B"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例5</w:t>
      </w:r>
    </w:p>
    <w:p w14:paraId="15B19AA3"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sz w:val="24"/>
          <w:szCs w:val="24"/>
        </w:rPr>
        <w:t>Heath B. Chamberlain, “On the Search for Civil Society in China”</w:t>
      </w:r>
      <w:r w:rsidRPr="007D24A0">
        <w:rPr>
          <w:rFonts w:ascii="SimSun" w:hAnsi="SimSun" w:hint="eastAsia"/>
          <w:sz w:val="24"/>
          <w:szCs w:val="24"/>
        </w:rPr>
        <w:t>,</w:t>
      </w:r>
      <w:r w:rsidRPr="007D24A0">
        <w:rPr>
          <w:rFonts w:ascii="SimSun" w:hAnsi="SimSun"/>
          <w:i/>
          <w:iCs/>
          <w:sz w:val="24"/>
          <w:szCs w:val="24"/>
        </w:rPr>
        <w:t>Modern China</w:t>
      </w:r>
      <w:r w:rsidRPr="007D24A0">
        <w:rPr>
          <w:rFonts w:ascii="SimSun" w:hAnsi="SimSun"/>
          <w:sz w:val="24"/>
          <w:szCs w:val="24"/>
        </w:rPr>
        <w:t>, vol. 19, no. 2 (April 1993), pp. 199</w:t>
      </w:r>
      <w:r w:rsidRPr="007D24A0">
        <w:rPr>
          <w:rFonts w:ascii="SimSun" w:hAnsi="SimSun" w:hint="eastAsia"/>
          <w:sz w:val="24"/>
          <w:szCs w:val="24"/>
        </w:rPr>
        <w:t>-</w:t>
      </w:r>
      <w:r w:rsidRPr="007D24A0">
        <w:rPr>
          <w:rFonts w:ascii="SimSun" w:hAnsi="SimSun"/>
          <w:sz w:val="24"/>
          <w:szCs w:val="24"/>
        </w:rPr>
        <w:t>215.</w:t>
      </w:r>
    </w:p>
    <w:p w14:paraId="5986128A" w14:textId="77777777" w:rsidR="007D24A0" w:rsidRPr="007D24A0" w:rsidRDefault="007D24A0" w:rsidP="007D24A0">
      <w:pPr>
        <w:spacing w:line="360" w:lineRule="auto"/>
        <w:ind w:firstLineChars="200" w:firstLine="482"/>
        <w:rPr>
          <w:rFonts w:ascii="SimSun" w:hAnsi="SimSun" w:cs="Courier New"/>
          <w:sz w:val="24"/>
          <w:szCs w:val="24"/>
        </w:rPr>
      </w:pPr>
      <w:r w:rsidRPr="007D24A0">
        <w:rPr>
          <w:rFonts w:ascii="SimSun" w:hAnsi="SimSun" w:cs="Courier New" w:hint="eastAsia"/>
          <w:b/>
          <w:bCs/>
          <w:sz w:val="24"/>
          <w:szCs w:val="24"/>
        </w:rPr>
        <w:t>6.未刊文献:</w:t>
      </w:r>
      <w:r w:rsidRPr="007D24A0">
        <w:rPr>
          <w:rFonts w:ascii="SimSun" w:hAnsi="SimSun" w:cs="Courier New" w:hint="eastAsia"/>
          <w:sz w:val="24"/>
          <w:szCs w:val="24"/>
        </w:rPr>
        <w:t>责任者／未刊文献题名／文献属性／编号／收藏单位／页码（选项）。</w:t>
      </w:r>
    </w:p>
    <w:p w14:paraId="0782223C"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26681311"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方明东：《罗隆基政治思想研究（1913-1949）》，博士学位论文，北京师范大学历史系，2000年，第67页。</w:t>
      </w:r>
    </w:p>
    <w:p w14:paraId="01B040A8"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61AD1976"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任东来：《对国际体制和国际制度的理解和翻译》，“全球化与亚太区域化国际研讨会”论文，天津，2000年6月，第9页。</w:t>
      </w:r>
    </w:p>
    <w:p w14:paraId="48B6B90F"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例3</w:t>
      </w:r>
    </w:p>
    <w:p w14:paraId="24E6423A"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周长山：《对汉代政治的若干考察----以郡（国）县体制为中心》，博士后研究报告，北京大学，2004年，第97－98页。</w:t>
      </w:r>
    </w:p>
    <w:p w14:paraId="30877361"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例4</w:t>
      </w:r>
    </w:p>
    <w:p w14:paraId="57620E94"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《党外人士座谈会记录》，1950年7月，李劼人档案，无编号，中共四川省委统战部档案室藏。</w:t>
      </w:r>
    </w:p>
    <w:p w14:paraId="67D62266"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例5</w:t>
      </w:r>
    </w:p>
    <w:p w14:paraId="1CF28CB5"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《傅良佐致国务院电》，1917年9月15日，北洋档案1011-5961，中国第二历史档案馆藏。</w:t>
      </w:r>
    </w:p>
    <w:p w14:paraId="200CB394" w14:textId="77777777" w:rsidR="007D24A0" w:rsidRPr="007D24A0" w:rsidRDefault="007D24A0" w:rsidP="007D24A0">
      <w:pPr>
        <w:spacing w:line="360" w:lineRule="auto"/>
        <w:ind w:firstLineChars="200" w:firstLine="482"/>
        <w:rPr>
          <w:rFonts w:ascii="SimSun" w:hAnsi="SimSun" w:cs="Courier New"/>
          <w:b/>
          <w:bCs/>
          <w:sz w:val="24"/>
          <w:szCs w:val="24"/>
        </w:rPr>
      </w:pPr>
      <w:r w:rsidRPr="007D24A0">
        <w:rPr>
          <w:rFonts w:ascii="SimSun" w:hAnsi="SimSun" w:cs="Courier New" w:hint="eastAsia"/>
          <w:b/>
          <w:bCs/>
          <w:sz w:val="24"/>
          <w:szCs w:val="24"/>
        </w:rPr>
        <w:t>7.电子文献</w:t>
      </w:r>
    </w:p>
    <w:p w14:paraId="2251F49B" w14:textId="77777777" w:rsidR="007D24A0" w:rsidRPr="007D24A0" w:rsidRDefault="007D24A0" w:rsidP="007D24A0">
      <w:pPr>
        <w:spacing w:line="360" w:lineRule="auto"/>
        <w:rPr>
          <w:rFonts w:ascii="SimSun" w:hAnsi="SimSun" w:cs="Courier New"/>
          <w:sz w:val="24"/>
          <w:szCs w:val="24"/>
        </w:rPr>
      </w:pPr>
      <w:r w:rsidRPr="007D24A0">
        <w:rPr>
          <w:rFonts w:ascii="SimSun" w:hAnsi="SimSun" w:cs="Courier New" w:hint="eastAsia"/>
          <w:bCs/>
          <w:sz w:val="24"/>
          <w:szCs w:val="24"/>
        </w:rPr>
        <w:t xml:space="preserve">    电子文献包括以数码方式记录的所有文献（含以胶片、磁带等介质记录的</w:t>
      </w:r>
      <w:r w:rsidRPr="007D24A0">
        <w:rPr>
          <w:rFonts w:ascii="SimSun" w:hAnsi="SimSun" w:cs="Courier New" w:hint="eastAsia"/>
          <w:sz w:val="24"/>
          <w:szCs w:val="24"/>
        </w:rPr>
        <w:t>电影、录影、录音等音像文献）。其标注项目与顺序：责任者／电子文献题名／更</w:t>
      </w:r>
      <w:r w:rsidRPr="007D24A0">
        <w:rPr>
          <w:rFonts w:ascii="SimSun" w:hAnsi="SimSun" w:cs="Courier New" w:hint="eastAsia"/>
          <w:sz w:val="24"/>
          <w:szCs w:val="24"/>
        </w:rPr>
        <w:lastRenderedPageBreak/>
        <w:t>新或修改日期／获取和访问路径／引用日期（任选）。</w:t>
      </w:r>
    </w:p>
    <w:p w14:paraId="3D21AEDB" w14:textId="77777777" w:rsidR="007D24A0" w:rsidRPr="007D24A0" w:rsidRDefault="007D24A0" w:rsidP="007D24A0">
      <w:pPr>
        <w:spacing w:line="360" w:lineRule="auto"/>
        <w:ind w:firstLine="480"/>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例1：</w:t>
      </w:r>
    </w:p>
    <w:p w14:paraId="503DEB83" w14:textId="77777777" w:rsidR="007D24A0" w:rsidRPr="007D24A0" w:rsidRDefault="007D24A0" w:rsidP="007D24A0">
      <w:pPr>
        <w:spacing w:line="360" w:lineRule="auto"/>
        <w:ind w:firstLineChars="150" w:firstLine="360"/>
        <w:rPr>
          <w:rFonts w:ascii="KaiTi" w:eastAsia="KaiTi" w:hAnsi="KaiTi" w:cs="Courier New"/>
          <w:sz w:val="24"/>
          <w:szCs w:val="24"/>
        </w:rPr>
      </w:pPr>
      <w:r w:rsidRPr="007D24A0">
        <w:rPr>
          <w:rFonts w:ascii="KaiTi" w:eastAsia="KaiTi" w:hAnsi="KaiTi" w:cs="Courier New" w:hint="eastAsia"/>
          <w:sz w:val="24"/>
          <w:szCs w:val="24"/>
        </w:rPr>
        <w:t>王明亮：《关于中国学术期刊标准化数据库系统工程的进展》，1998年8月16日， http://www.cajcd.cn/pub/wml.txt/980810-2.html, 1998年10月4日。</w:t>
      </w:r>
    </w:p>
    <w:p w14:paraId="7280E644" w14:textId="77777777" w:rsidR="007D24A0" w:rsidRPr="007D24A0" w:rsidRDefault="007D24A0" w:rsidP="007D24A0">
      <w:pPr>
        <w:spacing w:line="360" w:lineRule="auto"/>
        <w:ind w:firstLineChars="200" w:firstLine="448"/>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560EAB33" w14:textId="77777777" w:rsidR="007D24A0" w:rsidRPr="007D24A0" w:rsidRDefault="007D24A0" w:rsidP="007D24A0">
      <w:pPr>
        <w:spacing w:line="360" w:lineRule="auto"/>
        <w:ind w:firstLineChars="150" w:firstLine="360"/>
        <w:rPr>
          <w:rFonts w:ascii="KaiTi" w:eastAsia="KaiTi" w:hAnsi="KaiTi"/>
          <w:sz w:val="24"/>
          <w:szCs w:val="24"/>
        </w:rPr>
      </w:pPr>
      <w:r w:rsidRPr="007D24A0">
        <w:rPr>
          <w:rFonts w:ascii="KaiTi" w:eastAsia="KaiTi" w:hAnsi="KaiTi" w:hint="eastAsia"/>
          <w:sz w:val="24"/>
          <w:szCs w:val="24"/>
        </w:rPr>
        <w:t>扬之水：《两宋茶诗与茶事》，《文学遗产通讯》（网路版试刊）2006年第1期， http://www.literature.org.cn /</w:t>
      </w:r>
      <w:proofErr w:type="spellStart"/>
      <w:r w:rsidRPr="007D24A0">
        <w:rPr>
          <w:rFonts w:ascii="KaiTi" w:eastAsia="KaiTi" w:hAnsi="KaiTi" w:hint="eastAsia"/>
          <w:sz w:val="24"/>
          <w:szCs w:val="24"/>
        </w:rPr>
        <w:t>Article.asp?ID</w:t>
      </w:r>
      <w:proofErr w:type="spellEnd"/>
      <w:r w:rsidRPr="007D24A0">
        <w:rPr>
          <w:rFonts w:ascii="KaiTi" w:eastAsia="KaiTi" w:hAnsi="KaiTi" w:hint="eastAsia"/>
          <w:sz w:val="24"/>
          <w:szCs w:val="24"/>
        </w:rPr>
        <w:t>=199，2007年9月13日。</w:t>
      </w:r>
    </w:p>
    <w:p w14:paraId="0BCA9DF8" w14:textId="77777777" w:rsidR="007D24A0" w:rsidRPr="007D24A0" w:rsidRDefault="007D24A0" w:rsidP="007D24A0">
      <w:pPr>
        <w:spacing w:line="360" w:lineRule="auto"/>
        <w:ind w:firstLineChars="200" w:firstLine="482"/>
        <w:rPr>
          <w:rFonts w:ascii="SimSun" w:hAnsi="SimSun"/>
          <w:b/>
          <w:bCs/>
          <w:sz w:val="24"/>
          <w:szCs w:val="24"/>
        </w:rPr>
      </w:pPr>
      <w:r w:rsidRPr="007D24A0">
        <w:rPr>
          <w:rFonts w:ascii="SimSun" w:hAnsi="SimSun" w:hint="eastAsia"/>
          <w:b/>
          <w:bCs/>
          <w:sz w:val="24"/>
          <w:szCs w:val="24"/>
        </w:rPr>
        <w:t>8.转引文献</w:t>
      </w:r>
    </w:p>
    <w:p w14:paraId="771AEFC8"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责任者</w:t>
      </w:r>
      <w:r w:rsidRPr="007D24A0">
        <w:rPr>
          <w:rFonts w:ascii="SimSun" w:hAnsi="SimSun" w:cs="Courier New" w:hint="eastAsia"/>
          <w:sz w:val="24"/>
          <w:szCs w:val="24"/>
        </w:rPr>
        <w:t>／</w:t>
      </w:r>
      <w:r w:rsidRPr="007D24A0">
        <w:rPr>
          <w:rFonts w:ascii="SimSun" w:hAnsi="SimSun" w:hint="eastAsia"/>
          <w:sz w:val="24"/>
          <w:szCs w:val="24"/>
        </w:rPr>
        <w:t>原文献题名</w:t>
      </w:r>
      <w:r w:rsidRPr="007D24A0">
        <w:rPr>
          <w:rFonts w:ascii="SimSun" w:hAnsi="SimSun" w:cs="Courier New" w:hint="eastAsia"/>
          <w:sz w:val="24"/>
          <w:szCs w:val="24"/>
        </w:rPr>
        <w:t>／</w:t>
      </w:r>
      <w:r w:rsidRPr="007D24A0">
        <w:rPr>
          <w:rFonts w:ascii="SimSun" w:hAnsi="SimSun" w:hint="eastAsia"/>
          <w:sz w:val="24"/>
          <w:szCs w:val="24"/>
        </w:rPr>
        <w:t>原文献版本信息</w:t>
      </w:r>
      <w:r w:rsidRPr="007D24A0">
        <w:rPr>
          <w:rFonts w:ascii="SimSun" w:hAnsi="SimSun" w:cs="Courier New" w:hint="eastAsia"/>
          <w:sz w:val="24"/>
          <w:szCs w:val="24"/>
        </w:rPr>
        <w:t>／原页码（或卷期）／</w:t>
      </w:r>
      <w:r w:rsidRPr="007D24A0">
        <w:rPr>
          <w:rFonts w:ascii="SimSun" w:hAnsi="SimSun" w:hint="eastAsia"/>
          <w:sz w:val="24"/>
          <w:szCs w:val="24"/>
        </w:rPr>
        <w:t>转引文献责任者</w:t>
      </w:r>
      <w:r w:rsidRPr="007D24A0">
        <w:rPr>
          <w:rFonts w:ascii="SimSun" w:hAnsi="SimSun" w:cs="Courier New" w:hint="eastAsia"/>
          <w:sz w:val="24"/>
          <w:szCs w:val="24"/>
        </w:rPr>
        <w:t>／转引</w:t>
      </w:r>
      <w:r w:rsidRPr="007D24A0">
        <w:rPr>
          <w:rFonts w:ascii="SimSun" w:hAnsi="SimSun" w:hint="eastAsia"/>
          <w:sz w:val="24"/>
          <w:szCs w:val="24"/>
        </w:rPr>
        <w:t>文献题名</w:t>
      </w:r>
      <w:r w:rsidRPr="007D24A0">
        <w:rPr>
          <w:rFonts w:ascii="SimSun" w:hAnsi="SimSun" w:cs="Courier New" w:hint="eastAsia"/>
          <w:sz w:val="24"/>
          <w:szCs w:val="24"/>
        </w:rPr>
        <w:t>／</w:t>
      </w:r>
      <w:r w:rsidRPr="007D24A0">
        <w:rPr>
          <w:rFonts w:ascii="SimSun" w:hAnsi="SimSun" w:hint="eastAsia"/>
          <w:sz w:val="24"/>
          <w:szCs w:val="24"/>
        </w:rPr>
        <w:t>版本信息</w:t>
      </w:r>
      <w:r w:rsidRPr="007D24A0">
        <w:rPr>
          <w:rFonts w:ascii="SimSun" w:hAnsi="SimSun" w:cs="Courier New" w:hint="eastAsia"/>
          <w:sz w:val="24"/>
          <w:szCs w:val="24"/>
        </w:rPr>
        <w:t>／</w:t>
      </w:r>
      <w:r w:rsidRPr="007D24A0">
        <w:rPr>
          <w:rFonts w:ascii="SimSun" w:hAnsi="SimSun" w:hint="eastAsia"/>
          <w:sz w:val="24"/>
          <w:szCs w:val="24"/>
        </w:rPr>
        <w:t>页码。</w:t>
      </w:r>
    </w:p>
    <w:p w14:paraId="5F6DD0CD"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例1：</w:t>
      </w:r>
    </w:p>
    <w:p w14:paraId="12F04023"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乔启明:《江宁县淳化镇乡村社会之研究》，南京：金陵大学农学院，1934年，第17页。转引自马俊亚：《民国时期江宁的乡村治理》，见徐秀丽主编：《中国农村治理的历史与现状：以定县、邹平和江宁为例》，北京：社会科学文献出版社，2004年，第352页。</w:t>
      </w:r>
    </w:p>
    <w:p w14:paraId="25D93544"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例2：</w:t>
      </w:r>
    </w:p>
    <w:p w14:paraId="18DD2E2C"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章太炎:《在长沙晨光学校演说》，1925年10月，转引自汤志钧：《章太炎年谱长编》下册，北京：中华书局，1979年，第823页。</w:t>
      </w:r>
    </w:p>
    <w:p w14:paraId="784117DC" w14:textId="77777777" w:rsidR="007D24A0" w:rsidRPr="007D24A0" w:rsidRDefault="007D24A0" w:rsidP="007D24A0">
      <w:pPr>
        <w:spacing w:line="360" w:lineRule="auto"/>
        <w:ind w:firstLineChars="200" w:firstLine="482"/>
        <w:rPr>
          <w:rFonts w:ascii="SimSun" w:hAnsi="SimSun" w:cs="Courier New"/>
          <w:b/>
          <w:bCs/>
          <w:sz w:val="24"/>
          <w:szCs w:val="24"/>
        </w:rPr>
      </w:pPr>
      <w:r w:rsidRPr="007D24A0">
        <w:rPr>
          <w:rFonts w:ascii="SimSun" w:hAnsi="SimSun" w:cs="Courier New" w:hint="eastAsia"/>
          <w:b/>
          <w:bCs/>
          <w:sz w:val="24"/>
          <w:szCs w:val="24"/>
        </w:rPr>
        <w:t>9.再次引证时的项目简化</w:t>
      </w:r>
    </w:p>
    <w:p w14:paraId="743D56DE" w14:textId="77777777" w:rsidR="007D24A0" w:rsidRPr="007D24A0" w:rsidRDefault="007D24A0" w:rsidP="007D24A0">
      <w:pPr>
        <w:spacing w:line="360" w:lineRule="auto"/>
        <w:ind w:firstLineChars="200" w:firstLine="480"/>
        <w:rPr>
          <w:rFonts w:ascii="SimSun" w:hAnsi="SimSun" w:cs="Courier New"/>
          <w:b/>
          <w:bCs/>
          <w:sz w:val="24"/>
          <w:szCs w:val="24"/>
        </w:rPr>
      </w:pPr>
      <w:r w:rsidRPr="007D24A0">
        <w:rPr>
          <w:rFonts w:ascii="SimSun" w:hAnsi="SimSun" w:hint="eastAsia"/>
          <w:sz w:val="24"/>
          <w:szCs w:val="24"/>
        </w:rPr>
        <w:t>同一文献再次引证时只需标注责任者、题名、页码，出版信息可以省略。</w:t>
      </w:r>
    </w:p>
    <w:p w14:paraId="703A7DE7" w14:textId="77777777" w:rsidR="007D24A0" w:rsidRPr="007D24A0" w:rsidRDefault="007D24A0" w:rsidP="007D24A0">
      <w:pPr>
        <w:spacing w:line="360" w:lineRule="auto"/>
        <w:ind w:firstLineChars="200" w:firstLine="448"/>
        <w:rPr>
          <w:rFonts w:ascii="SimSun" w:hAnsi="SimSun" w:cs="Courier New"/>
          <w:spacing w:val="-8"/>
          <w:sz w:val="24"/>
          <w:szCs w:val="24"/>
        </w:rPr>
      </w:pPr>
      <w:r w:rsidRPr="007D24A0">
        <w:rPr>
          <w:rFonts w:ascii="SimSun" w:hAnsi="SimSun" w:cs="Courier New" w:hint="eastAsia"/>
          <w:spacing w:val="-8"/>
          <w:sz w:val="24"/>
          <w:szCs w:val="24"/>
        </w:rPr>
        <w:t>示例1：</w:t>
      </w:r>
    </w:p>
    <w:p w14:paraId="0EFCFF7B" w14:textId="77777777" w:rsidR="007D24A0" w:rsidRPr="007D24A0" w:rsidRDefault="007D24A0" w:rsidP="007D24A0">
      <w:pPr>
        <w:spacing w:line="360" w:lineRule="auto"/>
        <w:ind w:firstLineChars="200" w:firstLine="448"/>
        <w:rPr>
          <w:rFonts w:ascii="KaiTi" w:eastAsia="KaiTi" w:hAnsi="KaiTi" w:cs="Courier New"/>
          <w:b/>
          <w:sz w:val="24"/>
          <w:szCs w:val="24"/>
        </w:rPr>
      </w:pPr>
      <w:r w:rsidRPr="007D24A0">
        <w:rPr>
          <w:rFonts w:ascii="KaiTi" w:eastAsia="KaiTi" w:hAnsi="KaiTi" w:cs="Courier New" w:hint="eastAsia"/>
          <w:spacing w:val="-8"/>
          <w:sz w:val="24"/>
          <w:szCs w:val="24"/>
        </w:rPr>
        <w:t>戴裔煊：《〈明史·佛郎机传〉笺正》，第26页。</w:t>
      </w:r>
    </w:p>
    <w:p w14:paraId="1AE1CF34" w14:textId="77777777" w:rsidR="007D24A0" w:rsidRPr="007D24A0" w:rsidRDefault="007D24A0" w:rsidP="007D24A0">
      <w:pPr>
        <w:spacing w:line="360" w:lineRule="auto"/>
        <w:ind w:firstLineChars="200" w:firstLine="448"/>
        <w:rPr>
          <w:rFonts w:ascii="SimSun" w:hAnsi="SimSun" w:cs="Courier New"/>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例2：</w:t>
      </w:r>
    </w:p>
    <w:p w14:paraId="63D6B63C" w14:textId="77777777" w:rsidR="007D24A0" w:rsidRPr="007D24A0" w:rsidRDefault="007D24A0" w:rsidP="007D24A0">
      <w:pPr>
        <w:spacing w:line="360" w:lineRule="auto"/>
        <w:ind w:firstLineChars="200" w:firstLine="480"/>
        <w:rPr>
          <w:rFonts w:ascii="KaiTi" w:eastAsia="KaiTi" w:hAnsi="KaiTi" w:cs="Courier New"/>
          <w:b/>
          <w:sz w:val="24"/>
          <w:szCs w:val="24"/>
        </w:rPr>
      </w:pPr>
      <w:r w:rsidRPr="007D24A0">
        <w:rPr>
          <w:rFonts w:ascii="KaiTi" w:eastAsia="KaiTi" w:hAnsi="KaiTi" w:cs="Courier New" w:hint="eastAsia"/>
          <w:sz w:val="24"/>
          <w:szCs w:val="24"/>
        </w:rPr>
        <w:t>鲁迅：《中国小说的历史的变迁》，《鲁迅全集》第9册，第326页。</w:t>
      </w:r>
    </w:p>
    <w:p w14:paraId="3F1A0C6A" w14:textId="77777777" w:rsidR="007D24A0" w:rsidRPr="007D24A0" w:rsidRDefault="007D24A0" w:rsidP="007D24A0">
      <w:pPr>
        <w:spacing w:line="360" w:lineRule="auto"/>
        <w:ind w:firstLineChars="200" w:firstLine="448"/>
        <w:rPr>
          <w:rFonts w:ascii="SimSun" w:hAnsi="SimSun" w:cs="Courier New"/>
          <w:b/>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例3：</w:t>
      </w:r>
    </w:p>
    <w:p w14:paraId="655B1892" w14:textId="77777777" w:rsidR="007D24A0" w:rsidRPr="007D24A0" w:rsidRDefault="007D24A0" w:rsidP="007D24A0">
      <w:pPr>
        <w:spacing w:line="360" w:lineRule="auto"/>
        <w:ind w:firstLineChars="200" w:firstLine="480"/>
        <w:rPr>
          <w:rFonts w:ascii="KaiTi" w:eastAsia="KaiTi" w:hAnsi="KaiTi" w:cs="Courier New"/>
          <w:b/>
          <w:sz w:val="24"/>
          <w:szCs w:val="24"/>
        </w:rPr>
      </w:pPr>
      <w:r w:rsidRPr="007D24A0">
        <w:rPr>
          <w:rFonts w:ascii="KaiTi" w:eastAsia="KaiTi" w:hAnsi="KaiTi" w:cs="Courier New" w:hint="eastAsia"/>
          <w:sz w:val="24"/>
          <w:szCs w:val="24"/>
        </w:rPr>
        <w:t>扬之水：《两宋茶诗与茶事》，《文学遗产通讯》（网路版试刊）2006年第1期。</w:t>
      </w:r>
    </w:p>
    <w:p w14:paraId="72CA7F9D" w14:textId="77777777" w:rsidR="007D24A0" w:rsidRPr="007D24A0" w:rsidRDefault="007D24A0" w:rsidP="007D24A0">
      <w:pPr>
        <w:spacing w:line="360" w:lineRule="auto"/>
        <w:ind w:firstLineChars="200" w:firstLine="448"/>
        <w:rPr>
          <w:rFonts w:ascii="SimSun" w:hAnsi="SimSun" w:cs="Courier New"/>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例4；</w:t>
      </w:r>
    </w:p>
    <w:p w14:paraId="5D8E9D6C"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方明东：《罗隆基政治思想研究（1913-1949）》，第67页。</w:t>
      </w:r>
    </w:p>
    <w:p w14:paraId="433A2DF2"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lastRenderedPageBreak/>
        <w:t>10.间接引文</w:t>
      </w:r>
    </w:p>
    <w:p w14:paraId="2A018477"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间接引文通常以“参见”“参阅”或“详见”等引领词引导标注项目，应标识出具体参考引证的起止页码或章节。“参见”“参阅”或“详见”后不加冒号。标注项目、顺序与格式同直接引文。</w:t>
      </w:r>
    </w:p>
    <w:p w14:paraId="1743A41F" w14:textId="77777777" w:rsidR="007D24A0" w:rsidRPr="007D24A0" w:rsidRDefault="007D24A0" w:rsidP="007D24A0">
      <w:pPr>
        <w:spacing w:line="360" w:lineRule="auto"/>
        <w:ind w:firstLineChars="171" w:firstLine="383"/>
        <w:rPr>
          <w:rFonts w:ascii="SimSun" w:hAnsi="SimSun"/>
          <w:sz w:val="24"/>
          <w:szCs w:val="24"/>
        </w:rPr>
      </w:pPr>
      <w:r w:rsidRPr="007D24A0">
        <w:rPr>
          <w:rFonts w:ascii="SimSun" w:hAnsi="SimSun" w:hint="eastAsia"/>
          <w:spacing w:val="-8"/>
          <w:sz w:val="24"/>
          <w:szCs w:val="24"/>
        </w:rPr>
        <w:t>示</w:t>
      </w:r>
      <w:r w:rsidRPr="007D24A0">
        <w:rPr>
          <w:rFonts w:ascii="SimSun" w:hAnsi="SimSun" w:hint="eastAsia"/>
          <w:sz w:val="24"/>
          <w:szCs w:val="24"/>
        </w:rPr>
        <w:t>例：</w:t>
      </w:r>
    </w:p>
    <w:p w14:paraId="18FBF967" w14:textId="77777777" w:rsidR="007D24A0" w:rsidRPr="007D24A0" w:rsidRDefault="007D24A0" w:rsidP="007D24A0">
      <w:pPr>
        <w:spacing w:line="360" w:lineRule="auto"/>
        <w:ind w:firstLineChars="171" w:firstLine="410"/>
        <w:rPr>
          <w:rFonts w:ascii="KaiTi" w:eastAsia="KaiTi" w:hAnsi="KaiTi"/>
          <w:sz w:val="24"/>
          <w:szCs w:val="24"/>
        </w:rPr>
      </w:pPr>
      <w:r w:rsidRPr="007D24A0">
        <w:rPr>
          <w:rFonts w:ascii="KaiTi" w:eastAsia="KaiTi" w:hAnsi="KaiTi" w:hint="eastAsia"/>
          <w:sz w:val="24"/>
          <w:szCs w:val="24"/>
        </w:rPr>
        <w:t>参见邱陵编著：《书籍装帧艺术简史》，哈尔滨：黑龙江人民出版社，1984年，第28－29页；张秀民：《中国印刷史》，上海：上海人民出版社，1989年，第531－32页。</w:t>
      </w:r>
    </w:p>
    <w:p w14:paraId="159BAA7B"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11.内容性注释中的引文</w:t>
      </w:r>
    </w:p>
    <w:p w14:paraId="0FE7DDCB"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内容性注释是指对正文中的术语、概念、观点和资料进行进一步的解释、辨析或评论的文字。很多情况下，内容性注释中又出现引文，无论是直接引文，还是间接引文，都需要标明资料出处，标注项目与顺序与资料性注释相同</w:t>
      </w:r>
    </w:p>
    <w:p w14:paraId="4D34758F" w14:textId="77777777" w:rsidR="007D24A0" w:rsidRPr="007D24A0" w:rsidRDefault="007D24A0" w:rsidP="007D24A0">
      <w:pPr>
        <w:spacing w:line="360" w:lineRule="auto"/>
        <w:ind w:firstLineChars="200" w:firstLine="448"/>
        <w:rPr>
          <w:rFonts w:ascii="SimSun" w:hAnsi="SimSun" w:cs="Courier New"/>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例1：</w:t>
      </w:r>
    </w:p>
    <w:p w14:paraId="708ECD5B"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汪荣祖已注意到陈寅恪对胡适推崇《马氏文通》和用西洋哲学条理中国古代思想的批评。参见见汪荣祖：《陈寅恪评传》，南昌：百花洲文艺出版社，1992年，第262-265页。</w:t>
      </w:r>
    </w:p>
    <w:p w14:paraId="3169172B" w14:textId="77777777" w:rsidR="007D24A0" w:rsidRPr="007D24A0" w:rsidRDefault="007D24A0" w:rsidP="007D24A0">
      <w:pPr>
        <w:spacing w:line="360" w:lineRule="auto"/>
        <w:ind w:firstLineChars="200" w:firstLine="448"/>
        <w:rPr>
          <w:rFonts w:ascii="SimSun" w:hAnsi="SimSun" w:cs="Courier New"/>
          <w:sz w:val="24"/>
          <w:szCs w:val="24"/>
        </w:rPr>
      </w:pPr>
      <w:r w:rsidRPr="007D24A0">
        <w:rPr>
          <w:rFonts w:ascii="SimSun" w:hAnsi="SimSun" w:cs="Courier New" w:hint="eastAsia"/>
          <w:spacing w:val="-8"/>
          <w:sz w:val="24"/>
          <w:szCs w:val="24"/>
        </w:rPr>
        <w:t>示</w:t>
      </w:r>
      <w:r w:rsidRPr="007D24A0">
        <w:rPr>
          <w:rFonts w:ascii="SimSun" w:hAnsi="SimSun" w:cs="Courier New" w:hint="eastAsia"/>
          <w:sz w:val="24"/>
          <w:szCs w:val="24"/>
        </w:rPr>
        <w:t>例2：</w:t>
      </w:r>
    </w:p>
    <w:p w14:paraId="27AA90E2"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金毓黻曾说，“论学首贵析理”，而论事则“需兼及情与势；情浃而势合，施之于事，无不允当也”。见金毓黻：《静晤室日记》第1册，1920年3月18日，沈阳：辽沈书社，1993年，第11页。</w:t>
      </w:r>
    </w:p>
    <w:p w14:paraId="5584F3C9"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12.引证著作、文集的序言、引论、前言。</w:t>
      </w:r>
    </w:p>
    <w:p w14:paraId="68893D02" w14:textId="77777777" w:rsidR="007D24A0" w:rsidRPr="007D24A0" w:rsidRDefault="007D24A0" w:rsidP="007D24A0">
      <w:pPr>
        <w:spacing w:line="360" w:lineRule="auto"/>
        <w:ind w:firstLineChars="150" w:firstLine="360"/>
        <w:rPr>
          <w:rFonts w:ascii="SimSun" w:hAnsi="SimSun" w:cs="Courier New"/>
          <w:sz w:val="24"/>
          <w:szCs w:val="24"/>
        </w:rPr>
      </w:pPr>
      <w:r w:rsidRPr="007D24A0">
        <w:rPr>
          <w:rFonts w:ascii="SimSun" w:hAnsi="SimSun" w:cs="Courier New" w:hint="eastAsia"/>
          <w:sz w:val="24"/>
          <w:szCs w:val="24"/>
        </w:rPr>
        <w:t>（1）序言作者与著作、文集责任者相同：</w:t>
      </w:r>
    </w:p>
    <w:p w14:paraId="73F67181" w14:textId="77777777" w:rsidR="007D24A0" w:rsidRPr="007D24A0" w:rsidRDefault="007D24A0" w:rsidP="007D24A0">
      <w:pPr>
        <w:spacing w:line="360" w:lineRule="auto"/>
        <w:rPr>
          <w:rFonts w:ascii="SimSun" w:hAnsi="SimSun" w:cs="Courier New"/>
          <w:sz w:val="24"/>
          <w:szCs w:val="24"/>
        </w:rPr>
      </w:pPr>
      <w:r w:rsidRPr="007D24A0">
        <w:rPr>
          <w:rFonts w:ascii="SimSun" w:hAnsi="SimSun" w:cs="Courier New" w:hint="eastAsia"/>
          <w:sz w:val="24"/>
          <w:szCs w:val="24"/>
        </w:rPr>
        <w:t>示例：</w:t>
      </w:r>
    </w:p>
    <w:p w14:paraId="506D64C3"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李鹏程：《当代文化哲学沉思》，北京：人民出版社，1994年，“序言”，第1页。</w:t>
      </w:r>
    </w:p>
    <w:p w14:paraId="0FBF7345" w14:textId="77777777" w:rsidR="007D24A0" w:rsidRPr="007D24A0" w:rsidRDefault="007D24A0" w:rsidP="007D24A0">
      <w:pPr>
        <w:spacing w:line="360" w:lineRule="auto"/>
        <w:ind w:firstLineChars="150" w:firstLine="360"/>
        <w:rPr>
          <w:rFonts w:ascii="SimSun" w:hAnsi="SimSun" w:cs="Courier New"/>
          <w:sz w:val="24"/>
          <w:szCs w:val="24"/>
        </w:rPr>
      </w:pPr>
      <w:r w:rsidRPr="007D24A0">
        <w:rPr>
          <w:rFonts w:ascii="SimSun" w:hAnsi="SimSun" w:cs="Courier New" w:hint="eastAsia"/>
          <w:sz w:val="24"/>
          <w:szCs w:val="24"/>
        </w:rPr>
        <w:t>（2）责任者层次关系复杂时，也可以采用内容性注释的方式，通过叙述表明对序言的引证。为了表述紧凑，可将出版信息括注起来。</w:t>
      </w:r>
    </w:p>
    <w:p w14:paraId="3EB5DD28" w14:textId="77777777" w:rsidR="007D24A0" w:rsidRPr="007D24A0" w:rsidRDefault="007D24A0" w:rsidP="007D24A0">
      <w:pPr>
        <w:spacing w:line="360" w:lineRule="auto"/>
        <w:rPr>
          <w:rFonts w:ascii="SimSun" w:hAnsi="SimSun" w:cs="Courier New"/>
          <w:sz w:val="24"/>
          <w:szCs w:val="24"/>
        </w:rPr>
      </w:pPr>
      <w:r w:rsidRPr="007D24A0">
        <w:rPr>
          <w:rFonts w:ascii="SimSun" w:hAnsi="SimSun" w:hint="eastAsia"/>
          <w:spacing w:val="-8"/>
          <w:sz w:val="24"/>
          <w:szCs w:val="24"/>
        </w:rPr>
        <w:t>示</w:t>
      </w:r>
      <w:r w:rsidRPr="007D24A0">
        <w:rPr>
          <w:rFonts w:ascii="SimSun" w:hAnsi="SimSun" w:cs="Courier New" w:hint="eastAsia"/>
          <w:sz w:val="24"/>
          <w:szCs w:val="24"/>
        </w:rPr>
        <w:t>例：</w:t>
      </w:r>
    </w:p>
    <w:p w14:paraId="61F21F1F"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见戴逸为北京市宣武区档案馆编、王灿炽纂：《北京安徽会馆志稿》（北京：</w:t>
      </w:r>
      <w:r w:rsidRPr="007D24A0">
        <w:rPr>
          <w:rFonts w:ascii="KaiTi" w:eastAsia="KaiTi" w:hAnsi="KaiTi" w:cs="Courier New" w:hint="eastAsia"/>
          <w:sz w:val="24"/>
          <w:szCs w:val="24"/>
        </w:rPr>
        <w:lastRenderedPageBreak/>
        <w:t>北京燕山出版社，2001年）所作的序，第2页。</w:t>
      </w:r>
    </w:p>
    <w:p w14:paraId="20A0CF11" w14:textId="77777777" w:rsidR="007D24A0" w:rsidRPr="007D24A0" w:rsidRDefault="007D24A0" w:rsidP="007D24A0">
      <w:pPr>
        <w:spacing w:line="360" w:lineRule="auto"/>
        <w:jc w:val="center"/>
        <w:rPr>
          <w:rFonts w:ascii="SimSun" w:hAnsi="SimSun" w:cs="Courier New"/>
          <w:b/>
          <w:bCs/>
          <w:sz w:val="24"/>
          <w:szCs w:val="24"/>
        </w:rPr>
      </w:pPr>
    </w:p>
    <w:p w14:paraId="54347ABE" w14:textId="77777777" w:rsidR="007D24A0" w:rsidRPr="007D24A0" w:rsidRDefault="007D24A0" w:rsidP="007D24A0">
      <w:pPr>
        <w:spacing w:line="360" w:lineRule="auto"/>
        <w:jc w:val="center"/>
        <w:rPr>
          <w:rFonts w:ascii="SimSun" w:hAnsi="SimSun" w:cs="Courier New"/>
          <w:b/>
          <w:bCs/>
          <w:sz w:val="24"/>
          <w:szCs w:val="24"/>
        </w:rPr>
      </w:pPr>
      <w:r w:rsidRPr="007D24A0">
        <w:rPr>
          <w:rFonts w:ascii="SimSun" w:hAnsi="SimSun" w:cs="Courier New" w:hint="eastAsia"/>
          <w:b/>
          <w:bCs/>
          <w:sz w:val="24"/>
          <w:szCs w:val="24"/>
        </w:rPr>
        <w:t>二、著者-出版年体例</w:t>
      </w:r>
    </w:p>
    <w:p w14:paraId="7C55B45F" w14:textId="77777777" w:rsidR="007D24A0" w:rsidRPr="007D24A0" w:rsidRDefault="007D24A0" w:rsidP="007D24A0">
      <w:pPr>
        <w:spacing w:line="360" w:lineRule="auto"/>
        <w:rPr>
          <w:rFonts w:ascii="SimSun" w:hAnsi="SimSun" w:cs="Courier New"/>
          <w:b/>
          <w:bCs/>
          <w:sz w:val="24"/>
          <w:szCs w:val="24"/>
        </w:rPr>
      </w:pPr>
    </w:p>
    <w:p w14:paraId="7EF5892F"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 xml:space="preserve"> “著者</w:t>
      </w:r>
      <w:r w:rsidRPr="007D24A0">
        <w:rPr>
          <w:rFonts w:ascii="SimSun" w:hAnsi="SimSun"/>
          <w:sz w:val="24"/>
          <w:szCs w:val="24"/>
        </w:rPr>
        <w:t>-</w:t>
      </w:r>
      <w:r w:rsidRPr="007D24A0">
        <w:rPr>
          <w:rFonts w:ascii="SimSun" w:hAnsi="SimSun" w:hint="eastAsia"/>
          <w:sz w:val="24"/>
          <w:szCs w:val="24"/>
        </w:rPr>
        <w:t>出版年”体例是由正文中括注著者</w:t>
      </w:r>
      <w:r w:rsidRPr="007D24A0">
        <w:rPr>
          <w:rFonts w:ascii="SimSun" w:hAnsi="SimSun"/>
          <w:sz w:val="24"/>
          <w:szCs w:val="24"/>
        </w:rPr>
        <w:t>-</w:t>
      </w:r>
      <w:r w:rsidRPr="007D24A0">
        <w:rPr>
          <w:rFonts w:ascii="SimSun" w:hAnsi="SimSun" w:hint="eastAsia"/>
          <w:sz w:val="24"/>
          <w:szCs w:val="24"/>
        </w:rPr>
        <w:t>出版年及页码的标识（作者，出版年代：页码），与文后“参考文献表”以及对正文中的术语、概念、观点和资料进行解释、辨析或评论的注释三部分共同构成。注释与详列所引文献详细信息的参考文献表分开编的，这是该体例与注释体例在形式上的最大区别。</w:t>
      </w:r>
    </w:p>
    <w:p w14:paraId="2C9CC6D6" w14:textId="77777777" w:rsidR="007D24A0" w:rsidRPr="007D24A0" w:rsidRDefault="007D24A0" w:rsidP="007D24A0">
      <w:pPr>
        <w:spacing w:line="360" w:lineRule="auto"/>
        <w:ind w:firstLineChars="196" w:firstLine="472"/>
        <w:rPr>
          <w:rFonts w:ascii="SimSun" w:hAnsi="SimSun" w:cs="Courier New"/>
          <w:b/>
          <w:bCs/>
          <w:sz w:val="24"/>
          <w:szCs w:val="24"/>
        </w:rPr>
      </w:pPr>
      <w:r w:rsidRPr="007D24A0">
        <w:rPr>
          <w:rFonts w:ascii="SimSun" w:hAnsi="SimSun" w:cs="Courier New" w:hint="eastAsia"/>
          <w:b/>
          <w:bCs/>
          <w:sz w:val="24"/>
          <w:szCs w:val="24"/>
        </w:rPr>
        <w:t>(一)引文的标识</w:t>
      </w:r>
    </w:p>
    <w:p w14:paraId="1584D5D6"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1．在引文处括注引文著者姓名（西文著作只需标引著者姓氏），出版年代和页码，</w:t>
      </w:r>
      <w:r w:rsidRPr="007D24A0">
        <w:rPr>
          <w:rFonts w:ascii="SimSun" w:hAnsi="SimSun" w:cs="Courier New" w:hint="eastAsia"/>
          <w:sz w:val="24"/>
          <w:szCs w:val="24"/>
        </w:rPr>
        <w:t>一般情况下，圆括号标识放在所引材料的最后一个句子或短语的标点符号之前。提行缩格的引文，在引语的最后一个标点符号后加圆括号注释。</w:t>
      </w:r>
    </w:p>
    <w:p w14:paraId="240C4145"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示例1：</w:t>
      </w:r>
    </w:p>
    <w:p w14:paraId="0530B555"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发展成熟的皇权官僚体制一直有效地行使着对城市的统辖职能，城市是代表皇权的官员所在的非自治地区，而村落倒是无官员的自治地区。“可以毫不夸张地说，中国的治理史乃是皇权试图将其统辖势力不断扩展到城外地区的历史”（韦伯，1993：110）。</w:t>
      </w:r>
    </w:p>
    <w:p w14:paraId="38A9395F"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示例2：</w:t>
      </w:r>
    </w:p>
    <w:p w14:paraId="4F0AD3E4" w14:textId="77777777" w:rsidR="007D24A0" w:rsidRPr="007D24A0" w:rsidRDefault="007D24A0" w:rsidP="007D24A0">
      <w:pPr>
        <w:spacing w:line="360" w:lineRule="auto"/>
        <w:ind w:firstLineChars="200" w:firstLine="480"/>
        <w:rPr>
          <w:rFonts w:ascii="KaiTi" w:eastAsia="KaiTi" w:hAnsi="KaiTi"/>
          <w:sz w:val="24"/>
          <w:szCs w:val="24"/>
        </w:rPr>
      </w:pPr>
      <w:r w:rsidRPr="007D24A0">
        <w:rPr>
          <w:rFonts w:ascii="KaiTi" w:eastAsia="KaiTi" w:hAnsi="KaiTi" w:hint="eastAsia"/>
          <w:sz w:val="24"/>
          <w:szCs w:val="24"/>
        </w:rPr>
        <w:t>在教权制里</w:t>
      </w:r>
      <w:r w:rsidRPr="007D24A0">
        <w:rPr>
          <w:rFonts w:ascii="KaiTi" w:eastAsia="KaiTi" w:hAnsi="KaiTi" w:hint="eastAsia"/>
          <w:sz w:val="24"/>
          <w:szCs w:val="24"/>
        </w:rPr>
        <w:sym w:font="Symbol" w:char="F0BC"/>
      </w:r>
      <w:r w:rsidRPr="007D24A0">
        <w:rPr>
          <w:rFonts w:ascii="KaiTi" w:eastAsia="KaiTi" w:hAnsi="KaiTi" w:hint="eastAsia"/>
          <w:sz w:val="24"/>
          <w:szCs w:val="24"/>
        </w:rPr>
        <w:sym w:font="Symbol" w:char="F0BC"/>
      </w:r>
      <w:r w:rsidRPr="007D24A0">
        <w:rPr>
          <w:rFonts w:ascii="KaiTi" w:eastAsia="KaiTi" w:hAnsi="KaiTi" w:hint="eastAsia"/>
          <w:sz w:val="24"/>
          <w:szCs w:val="24"/>
        </w:rPr>
        <w:t>对于那些被它要求支配的人，教权制在其支配权所及的范围内，会保护他们免于来自其他权力的干涉，无论此一干涉为政治当权者、丈夫或父亲。此种力量来自于教权制本身的官职卡里斯玛。（韦伯，2004b：438）</w:t>
      </w:r>
    </w:p>
    <w:p w14:paraId="6D6FBE9F" w14:textId="77777777" w:rsidR="007D24A0" w:rsidRPr="007D24A0" w:rsidRDefault="007D24A0" w:rsidP="007D24A0">
      <w:pPr>
        <w:spacing w:line="360" w:lineRule="auto"/>
        <w:ind w:firstLineChars="200" w:firstLine="482"/>
        <w:rPr>
          <w:rFonts w:ascii="SimSun" w:hAnsi="SimSun" w:cs="Courier New"/>
          <w:b/>
          <w:sz w:val="24"/>
          <w:szCs w:val="24"/>
        </w:rPr>
      </w:pPr>
      <w:r w:rsidRPr="007D24A0">
        <w:rPr>
          <w:rFonts w:ascii="SimSun" w:hAnsi="SimSun" w:cs="Courier New" w:hint="eastAsia"/>
          <w:b/>
          <w:sz w:val="24"/>
          <w:szCs w:val="24"/>
        </w:rPr>
        <w:t>2．当作者姓名成为正文的组成部分时，可省去圆括号中的作者姓名。</w:t>
      </w:r>
    </w:p>
    <w:p w14:paraId="72F0D012"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w:t>
      </w:r>
    </w:p>
    <w:p w14:paraId="1B6B3B8D"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按照英国社会学家马歇尔（Marshall）那引起广泛关注的观点，自18世纪以来，这种与公民资格相联系的公民权利大体上经历了从基本的“市民权利”（civil rights）到政治权利再到社会权利的发展历程（1964：56）。</w:t>
      </w:r>
    </w:p>
    <w:p w14:paraId="7BD8512F"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3．两位作者姓名之间用顿号隔开。</w:t>
      </w:r>
    </w:p>
    <w:p w14:paraId="34AF646C"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示例1：</w:t>
      </w:r>
    </w:p>
    <w:p w14:paraId="47AC4FE3"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有的学者甚至明确认为：西方社会民主政治制度的基础是市民社会，而中国</w:t>
      </w:r>
      <w:r w:rsidRPr="007D24A0">
        <w:rPr>
          <w:rFonts w:ascii="KaiTi" w:eastAsia="KaiTi" w:hAnsi="KaiTi" w:cs="Courier New" w:hint="eastAsia"/>
          <w:sz w:val="24"/>
          <w:szCs w:val="24"/>
        </w:rPr>
        <w:lastRenderedPageBreak/>
        <w:t>社会的特点决定了民主政治发展的基础是乡村社会（唐兴霖、马骏，1999）。</w:t>
      </w:r>
    </w:p>
    <w:p w14:paraId="38818A56"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示例2：</w:t>
      </w:r>
    </w:p>
    <w:p w14:paraId="5CA4DB09"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从新古典共和主义之“公民”理想，到主权理论的“属民”概念，再到革命立宪的“人权”和“公民权”，乃至康德“世界公民”的观念，公民权概念的内涵一直处于流变之中（蔡英文，2006）。即使到今天，自由主义、共和主义、社群主义以及激进民主理论等不同的理论取向对于这一概念的理解也依然各不相同（</w:t>
      </w:r>
      <w:proofErr w:type="spellStart"/>
      <w:r w:rsidRPr="007D24A0">
        <w:rPr>
          <w:rFonts w:ascii="KaiTi" w:eastAsia="KaiTi" w:hAnsi="KaiTi" w:cs="Courier New" w:hint="eastAsia"/>
          <w:sz w:val="24"/>
          <w:szCs w:val="24"/>
        </w:rPr>
        <w:t>Isin</w:t>
      </w:r>
      <w:proofErr w:type="spellEnd"/>
      <w:r w:rsidRPr="007D24A0">
        <w:rPr>
          <w:rFonts w:ascii="KaiTi" w:eastAsia="KaiTi" w:hAnsi="KaiTi" w:cs="Courier New" w:hint="eastAsia"/>
          <w:sz w:val="24"/>
          <w:szCs w:val="24"/>
        </w:rPr>
        <w:t>&amp; Turner，2002：131-188）。</w:t>
      </w:r>
    </w:p>
    <w:p w14:paraId="3B73C149"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4．引用同一个作者同一年的多篇论著时，在出版年代后加</w:t>
      </w:r>
      <w:proofErr w:type="spellStart"/>
      <w:r w:rsidRPr="007D24A0">
        <w:rPr>
          <w:rFonts w:ascii="SimSun" w:hAnsi="SimSun" w:cs="Courier New" w:hint="eastAsia"/>
          <w:b/>
          <w:sz w:val="24"/>
          <w:szCs w:val="24"/>
        </w:rPr>
        <w:t>a,b,c</w:t>
      </w:r>
      <w:proofErr w:type="spellEnd"/>
      <w:r w:rsidRPr="007D24A0">
        <w:rPr>
          <w:rFonts w:ascii="SimSun" w:hAnsi="SimSun" w:cs="Courier New" w:hint="eastAsia"/>
          <w:b/>
          <w:sz w:val="24"/>
          <w:szCs w:val="24"/>
        </w:rPr>
        <w:t>等以示区别。</w:t>
      </w:r>
    </w:p>
    <w:p w14:paraId="62CADF44"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示例1：</w:t>
      </w:r>
    </w:p>
    <w:p w14:paraId="1BE41410"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但无论是教会还是教派，和所有具有伦理取向的宗教一样，都“在一种末世论期待的影响下，一开始即带有卡里斯玛式的拒斥现世的烙印”（韦伯，2004b:403）。</w:t>
      </w:r>
    </w:p>
    <w:p w14:paraId="17E273EB"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示例2：</w:t>
      </w:r>
    </w:p>
    <w:p w14:paraId="6585CA7F" w14:textId="77777777" w:rsidR="007D24A0" w:rsidRPr="007D24A0" w:rsidRDefault="007D24A0" w:rsidP="007D24A0">
      <w:pPr>
        <w:spacing w:line="360" w:lineRule="auto"/>
        <w:ind w:firstLineChars="196" w:firstLine="470"/>
        <w:rPr>
          <w:rFonts w:ascii="KaiTi" w:eastAsia="KaiTi" w:hAnsi="KaiTi" w:cs="Courier New"/>
          <w:b/>
          <w:sz w:val="24"/>
          <w:szCs w:val="24"/>
        </w:rPr>
      </w:pPr>
      <w:r w:rsidRPr="007D24A0">
        <w:rPr>
          <w:rFonts w:ascii="KaiTi" w:eastAsia="KaiTi" w:hAnsi="KaiTi" w:cs="Courier New" w:hint="eastAsia"/>
          <w:sz w:val="24"/>
          <w:szCs w:val="24"/>
        </w:rPr>
        <w:t>在不同的场合，韦伯从城市的社会结构与阶级对立（贵族与农民、奴隶，抑或贵族与行会）、城市政治组织的社会基础（地区共同体，抑或职业团体）、早期民主制的担纲者（农民，或是工商业市民）、经济政策的利益取向、身份结构等一系列方面对中世纪城市和古代城市进行了比较（韦伯，2005，第5章；2004a:233-245、272-278）。</w:t>
      </w:r>
    </w:p>
    <w:p w14:paraId="58B658F4"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5．转引的文献须注明。</w:t>
      </w:r>
    </w:p>
    <w:p w14:paraId="667F7B47" w14:textId="77777777" w:rsidR="007D24A0" w:rsidRPr="007D24A0" w:rsidRDefault="007D24A0" w:rsidP="007D24A0">
      <w:pPr>
        <w:spacing w:line="360" w:lineRule="auto"/>
        <w:ind w:firstLineChars="200" w:firstLine="480"/>
        <w:rPr>
          <w:rFonts w:ascii="SimSun" w:hAnsi="SimSun"/>
          <w:sz w:val="24"/>
          <w:szCs w:val="24"/>
        </w:rPr>
      </w:pPr>
      <w:r w:rsidRPr="007D24A0">
        <w:rPr>
          <w:rFonts w:ascii="SimSun" w:hAnsi="SimSun" w:hint="eastAsia"/>
          <w:sz w:val="24"/>
          <w:szCs w:val="24"/>
        </w:rPr>
        <w:t>示例：</w:t>
      </w:r>
    </w:p>
    <w:p w14:paraId="43A94F8C" w14:textId="77777777" w:rsidR="007D24A0" w:rsidRPr="007D24A0" w:rsidRDefault="007D24A0" w:rsidP="007D24A0">
      <w:pPr>
        <w:spacing w:line="360" w:lineRule="auto"/>
        <w:ind w:firstLineChars="200" w:firstLine="480"/>
        <w:rPr>
          <w:rFonts w:ascii="KaiTi" w:eastAsia="KaiTi" w:hAnsi="KaiTi" w:cs="Courier New"/>
          <w:sz w:val="24"/>
          <w:szCs w:val="24"/>
        </w:rPr>
      </w:pPr>
      <w:r w:rsidRPr="007D24A0">
        <w:rPr>
          <w:rFonts w:ascii="KaiTi" w:eastAsia="KaiTi" w:hAnsi="KaiTi" w:cs="Courier New" w:hint="eastAsia"/>
          <w:sz w:val="24"/>
          <w:szCs w:val="24"/>
        </w:rPr>
        <w:t>就像奥古斯丁·梯叶里在其著名的《论第三等级的历史》（1853）中所说的：“12世纪一系列的城市革命，从某种方面讲类似于为当今这么多国家带来立宪政府制度的运动……资产阶级，一种以市民平等和劳动独立为惯例的新国民，已经在贵族和人民之间升起，永远地摧毁了封建时代的社会两重性”（转引自霍弗特，2005:83）。</w:t>
      </w:r>
    </w:p>
    <w:p w14:paraId="515D9842" w14:textId="77777777" w:rsidR="007D24A0" w:rsidRPr="007D24A0" w:rsidRDefault="007D24A0" w:rsidP="007D24A0">
      <w:pPr>
        <w:spacing w:line="360" w:lineRule="auto"/>
        <w:ind w:firstLineChars="196" w:firstLine="472"/>
        <w:rPr>
          <w:rFonts w:ascii="SimSun" w:hAnsi="SimSun" w:cs="Courier New"/>
          <w:b/>
          <w:bCs/>
          <w:sz w:val="24"/>
          <w:szCs w:val="24"/>
        </w:rPr>
      </w:pPr>
      <w:r w:rsidRPr="007D24A0">
        <w:rPr>
          <w:rFonts w:ascii="SimSun" w:hAnsi="SimSun" w:cs="Courier New" w:hint="eastAsia"/>
          <w:b/>
          <w:bCs/>
          <w:sz w:val="24"/>
          <w:szCs w:val="24"/>
        </w:rPr>
        <w:t>（二）参考文献的标注项目与顺序</w:t>
      </w:r>
    </w:p>
    <w:p w14:paraId="0EA6F31F"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1．标注项目</w:t>
      </w:r>
    </w:p>
    <w:p w14:paraId="35C9A941" w14:textId="77777777" w:rsidR="007D24A0" w:rsidRPr="00690FBD" w:rsidRDefault="007D24A0" w:rsidP="007D24A0">
      <w:pPr>
        <w:spacing w:line="360" w:lineRule="auto"/>
        <w:ind w:firstLineChars="200" w:firstLine="482"/>
        <w:rPr>
          <w:rFonts w:ascii="SimSun" w:hAnsi="SimSun" w:cs="Courier New"/>
          <w:b/>
          <w:bCs/>
          <w:sz w:val="24"/>
          <w:szCs w:val="24"/>
        </w:rPr>
      </w:pPr>
      <w:r w:rsidRPr="00690FBD">
        <w:rPr>
          <w:rFonts w:ascii="SimSun" w:hAnsi="SimSun" w:cs="Courier New" w:hint="eastAsia"/>
          <w:b/>
          <w:bCs/>
          <w:sz w:val="24"/>
          <w:szCs w:val="24"/>
        </w:rPr>
        <w:t>每一条参考文献的标注项目与“注释体例”中“资料性注释”的标注项目</w:t>
      </w:r>
      <w:r w:rsidRPr="00690FBD">
        <w:rPr>
          <w:rFonts w:ascii="SimSun" w:hAnsi="SimSun" w:cs="Courier New" w:hint="eastAsia"/>
          <w:b/>
          <w:bCs/>
          <w:sz w:val="24"/>
          <w:szCs w:val="24"/>
        </w:rPr>
        <w:lastRenderedPageBreak/>
        <w:t>大致相同。不同之处是参考文献的著录项目中没有页码一项（因为已经在正文中标识）。</w:t>
      </w:r>
    </w:p>
    <w:p w14:paraId="146EF6E9"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2．标注顺序</w:t>
      </w:r>
    </w:p>
    <w:p w14:paraId="00030963" w14:textId="77777777" w:rsidR="007D24A0" w:rsidRPr="007D24A0" w:rsidRDefault="007D24A0" w:rsidP="007D24A0">
      <w:pPr>
        <w:spacing w:line="360" w:lineRule="auto"/>
        <w:ind w:firstLine="480"/>
        <w:rPr>
          <w:rFonts w:ascii="SimSun" w:hAnsi="SimSun" w:cs="Courier New"/>
          <w:sz w:val="24"/>
          <w:szCs w:val="24"/>
        </w:rPr>
      </w:pPr>
      <w:r w:rsidRPr="007D24A0">
        <w:rPr>
          <w:rFonts w:ascii="SimSun" w:hAnsi="SimSun" w:cs="Courier New" w:hint="eastAsia"/>
          <w:sz w:val="24"/>
          <w:szCs w:val="24"/>
        </w:rPr>
        <w:t>与“注释体例”中“资料性注释”相比，参考文献标注项目中“出版年”置于责任者与题名之间外，并将“年”省去，均用逗号（英文参考文献用逗点）隔开，其他项目的顺序与标注格式则与“资料性注释”各项标注相同。</w:t>
      </w:r>
    </w:p>
    <w:p w14:paraId="0F8BCC0C" w14:textId="77777777" w:rsidR="007D24A0" w:rsidRPr="007D24A0" w:rsidRDefault="007D24A0" w:rsidP="007D24A0">
      <w:pPr>
        <w:spacing w:line="360" w:lineRule="auto"/>
        <w:ind w:firstLineChars="196" w:firstLine="472"/>
        <w:rPr>
          <w:rFonts w:ascii="SimSun" w:hAnsi="SimSun" w:cs="Courier New"/>
          <w:b/>
          <w:sz w:val="24"/>
          <w:szCs w:val="24"/>
        </w:rPr>
      </w:pPr>
      <w:r w:rsidRPr="007D24A0">
        <w:rPr>
          <w:rFonts w:ascii="SimSun" w:hAnsi="SimSun" w:cs="Courier New" w:hint="eastAsia"/>
          <w:b/>
          <w:sz w:val="24"/>
          <w:szCs w:val="24"/>
        </w:rPr>
        <w:t>3．参考文献表的排列顺序</w:t>
      </w:r>
    </w:p>
    <w:p w14:paraId="011F9ADE" w14:textId="77777777" w:rsidR="007D24A0" w:rsidRPr="007D24A0" w:rsidRDefault="007D24A0" w:rsidP="007D24A0">
      <w:pPr>
        <w:spacing w:line="360" w:lineRule="auto"/>
        <w:ind w:firstLineChars="196" w:firstLine="470"/>
        <w:rPr>
          <w:rFonts w:ascii="SimSun" w:hAnsi="SimSun" w:cs="Courier New"/>
          <w:sz w:val="24"/>
          <w:szCs w:val="24"/>
        </w:rPr>
      </w:pPr>
      <w:r w:rsidRPr="007D24A0">
        <w:rPr>
          <w:rFonts w:ascii="SimSun" w:hAnsi="SimSun" w:cs="Courier New" w:hint="eastAsia"/>
          <w:sz w:val="24"/>
          <w:szCs w:val="24"/>
        </w:rPr>
        <w:t>所有征引的参考文献，按下列顺序排列于正文后：</w:t>
      </w:r>
    </w:p>
    <w:p w14:paraId="3484E1EC" w14:textId="77777777" w:rsidR="007D24A0" w:rsidRPr="007D24A0" w:rsidRDefault="007D24A0" w:rsidP="007D24A0">
      <w:pPr>
        <w:spacing w:line="360" w:lineRule="auto"/>
        <w:ind w:firstLineChars="196" w:firstLine="470"/>
        <w:rPr>
          <w:rFonts w:ascii="SimSun" w:hAnsi="SimSun" w:cs="Courier New"/>
          <w:sz w:val="24"/>
          <w:szCs w:val="24"/>
        </w:rPr>
      </w:pPr>
      <w:r w:rsidRPr="007D24A0">
        <w:rPr>
          <w:rFonts w:ascii="SimSun" w:hAnsi="SimSun" w:cs="Courier New" w:hint="eastAsia"/>
          <w:sz w:val="24"/>
          <w:szCs w:val="24"/>
        </w:rPr>
        <w:t>（1）各条文献首先按文种集中，先中文文献，后外文文献。</w:t>
      </w:r>
    </w:p>
    <w:p w14:paraId="68DBDD75" w14:textId="77777777" w:rsidR="007D24A0" w:rsidRPr="007D24A0" w:rsidRDefault="007D24A0" w:rsidP="007D24A0">
      <w:pPr>
        <w:spacing w:line="360" w:lineRule="auto"/>
        <w:ind w:firstLineChars="196" w:firstLine="470"/>
        <w:rPr>
          <w:rFonts w:ascii="SimSun" w:hAnsi="SimSun" w:cs="Courier New"/>
          <w:sz w:val="24"/>
          <w:szCs w:val="24"/>
        </w:rPr>
      </w:pPr>
      <w:r w:rsidRPr="007D24A0">
        <w:rPr>
          <w:rFonts w:ascii="SimSun" w:hAnsi="SimSun" w:cs="Courier New" w:hint="eastAsia"/>
          <w:sz w:val="24"/>
          <w:szCs w:val="24"/>
        </w:rPr>
        <w:t xml:space="preserve">（2）其次按著者姓氏字顺排列。中文著作署名按照作者姓氏汉语拼音母音序排列，外文文献中译本的署名也按照作者姓名的汉语拼音母音序排列，但是按照习惯，外人姓名名在前，姓在后（尽管习惯上正文中仍然只标识姓氏）；外文文献按照作者姓氏的字母顺序排列（姓氏置前，用“,”与名字隔开；多位作者只须将首位作者的姓氏前置）。 </w:t>
      </w:r>
    </w:p>
    <w:p w14:paraId="55CBC079" w14:textId="77777777" w:rsidR="007D24A0" w:rsidRPr="007D24A0" w:rsidRDefault="007D24A0" w:rsidP="007D24A0">
      <w:pPr>
        <w:spacing w:line="360" w:lineRule="auto"/>
        <w:ind w:firstLineChars="196" w:firstLine="470"/>
        <w:rPr>
          <w:rFonts w:ascii="SimSun" w:hAnsi="SimSun" w:cs="Courier New"/>
          <w:sz w:val="24"/>
          <w:szCs w:val="24"/>
        </w:rPr>
      </w:pPr>
      <w:r w:rsidRPr="007D24A0">
        <w:rPr>
          <w:rFonts w:ascii="SimSun" w:hAnsi="SimSun" w:cs="Courier New" w:hint="eastAsia"/>
          <w:sz w:val="24"/>
          <w:szCs w:val="24"/>
        </w:rPr>
        <w:t>（3）同一著者再按出版年先后排列。</w:t>
      </w:r>
    </w:p>
    <w:p w14:paraId="04A3BC2D" w14:textId="77777777" w:rsidR="007D24A0" w:rsidRPr="007D24A0" w:rsidRDefault="007D24A0" w:rsidP="007D24A0">
      <w:pPr>
        <w:spacing w:line="360" w:lineRule="auto"/>
        <w:ind w:firstLineChars="196" w:firstLine="470"/>
        <w:rPr>
          <w:rFonts w:ascii="SimSun" w:hAnsi="SimSun" w:cs="Courier New"/>
          <w:sz w:val="24"/>
          <w:szCs w:val="24"/>
        </w:rPr>
      </w:pPr>
      <w:r w:rsidRPr="007D24A0">
        <w:rPr>
          <w:rFonts w:ascii="SimSun" w:hAnsi="SimSun" w:cs="Courier New" w:hint="eastAsia"/>
          <w:sz w:val="24"/>
          <w:szCs w:val="24"/>
        </w:rPr>
        <w:t>示例：</w:t>
      </w:r>
    </w:p>
    <w:p w14:paraId="1876B223" w14:textId="77777777" w:rsidR="007D24A0" w:rsidRPr="007D24A0" w:rsidRDefault="007D24A0" w:rsidP="007D24A0">
      <w:pPr>
        <w:spacing w:line="360" w:lineRule="auto"/>
        <w:jc w:val="center"/>
        <w:rPr>
          <w:rFonts w:ascii="SimSun" w:hAnsi="SimSun"/>
          <w:sz w:val="24"/>
          <w:szCs w:val="24"/>
        </w:rPr>
      </w:pPr>
    </w:p>
    <w:p w14:paraId="1C9CAD80" w14:textId="77777777" w:rsidR="007D24A0" w:rsidRPr="007D24A0" w:rsidRDefault="007D24A0" w:rsidP="007D24A0">
      <w:pPr>
        <w:spacing w:line="360" w:lineRule="auto"/>
        <w:jc w:val="center"/>
        <w:rPr>
          <w:rFonts w:ascii="SimSun" w:hAnsi="SimSun"/>
          <w:sz w:val="24"/>
          <w:szCs w:val="24"/>
        </w:rPr>
      </w:pPr>
      <w:r w:rsidRPr="007D24A0">
        <w:rPr>
          <w:rFonts w:ascii="SimSun" w:hAnsi="SimSun" w:hint="eastAsia"/>
          <w:sz w:val="24"/>
          <w:szCs w:val="24"/>
        </w:rPr>
        <w:t>参考文献</w:t>
      </w:r>
    </w:p>
    <w:p w14:paraId="41B8D799" w14:textId="77777777" w:rsidR="007D24A0" w:rsidRPr="007D24A0" w:rsidRDefault="007D24A0" w:rsidP="007D24A0">
      <w:pPr>
        <w:spacing w:line="360" w:lineRule="auto"/>
        <w:ind w:firstLineChars="200" w:firstLine="480"/>
        <w:rPr>
          <w:rFonts w:ascii="SimSun" w:hAnsi="SimSun"/>
          <w:sz w:val="24"/>
          <w:szCs w:val="24"/>
        </w:rPr>
      </w:pPr>
    </w:p>
    <w:p w14:paraId="6B33E916"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阿尔穆特·霍弗特，2005，《中世纪晚期的国家、城市与公民》，见昆廷·斯金纳、博·斯特拉思主编：《国家与公民：历史·理论·展望》，彭利平译，上海：华东师范大学出版社。</w:t>
      </w:r>
    </w:p>
    <w:p w14:paraId="4181EF65"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蔡英文，2006，《公民身份的多重性——政治观念史的阐述》，见许纪霖主编：《公共性与公民观》，南京：江苏人民出版社。</w:t>
      </w:r>
    </w:p>
    <w:p w14:paraId="30C9E004"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马克斯·韦伯，1993，《儒教与道教》，洪天富译，南京：江苏人民出版社。</w:t>
      </w:r>
    </w:p>
    <w:p w14:paraId="4BA3C9A0"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马克斯·韦伯，2004a，《韦伯作品集Ⅱ：经济与历史·支配的类型》，康乐等译，桂林：广西师范大学出版社。</w:t>
      </w:r>
    </w:p>
    <w:p w14:paraId="657AE699"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马克斯·韦伯，2004b，《韦伯作品集Ⅲ：支配社会学》，康乐、简惠美译，桂林：广西师范大学出版社。</w:t>
      </w:r>
    </w:p>
    <w:p w14:paraId="36ED75DE"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lastRenderedPageBreak/>
        <w:t>马克斯·韦伯，2005，《韦伯作品集：非正当性的支配——城市的类型学》，康乐、简惠美译，桂林：广西师范大学出版社。</w:t>
      </w:r>
    </w:p>
    <w:p w14:paraId="4ECF89E8"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皮埃尔·罗桑瓦龙，2005，《公民的加冕礼——法国谱选史》，吕一民译，上海：上海世纪出版集团。</w:t>
      </w:r>
    </w:p>
    <w:p w14:paraId="0AEA7555"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唐兴霖、马骏，1999，《中国村民自治民主的制度分析》，《开放时代》第5、6月号。</w:t>
      </w:r>
    </w:p>
    <w:p w14:paraId="5FA3EE81" w14:textId="77777777" w:rsidR="007D24A0" w:rsidRPr="007D24A0" w:rsidRDefault="007D24A0" w:rsidP="007D24A0">
      <w:pPr>
        <w:spacing w:line="360" w:lineRule="auto"/>
        <w:rPr>
          <w:rFonts w:ascii="SimSun" w:hAnsi="SimSun"/>
          <w:sz w:val="24"/>
          <w:szCs w:val="24"/>
        </w:rPr>
      </w:pPr>
    </w:p>
    <w:p w14:paraId="2F01C6A5"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 xml:space="preserve">Huter,J.E.,F.L.Schmidt&amp;G.B.Jackson,1982, </w:t>
      </w:r>
      <w:proofErr w:type="spellStart"/>
      <w:r w:rsidRPr="007D24A0">
        <w:rPr>
          <w:rFonts w:ascii="SimSun" w:hAnsi="SimSun" w:hint="eastAsia"/>
          <w:i/>
          <w:iCs/>
          <w:sz w:val="24"/>
          <w:szCs w:val="24"/>
        </w:rPr>
        <w:t>Meta-analysis:Cumulating</w:t>
      </w:r>
      <w:proofErr w:type="spellEnd"/>
      <w:r w:rsidRPr="007D24A0">
        <w:rPr>
          <w:rFonts w:ascii="SimSun" w:hAnsi="SimSun" w:hint="eastAsia"/>
          <w:i/>
          <w:iCs/>
          <w:sz w:val="24"/>
          <w:szCs w:val="24"/>
        </w:rPr>
        <w:t xml:space="preserve"> Research Findings Across Studies， </w:t>
      </w:r>
      <w:r w:rsidRPr="007D24A0">
        <w:rPr>
          <w:rFonts w:ascii="SimSun" w:hAnsi="SimSun" w:hint="eastAsia"/>
          <w:sz w:val="24"/>
          <w:szCs w:val="24"/>
        </w:rPr>
        <w:t xml:space="preserve">Beverly </w:t>
      </w:r>
      <w:proofErr w:type="spellStart"/>
      <w:r w:rsidRPr="007D24A0">
        <w:rPr>
          <w:rFonts w:ascii="SimSun" w:hAnsi="SimSun" w:hint="eastAsia"/>
          <w:sz w:val="24"/>
          <w:szCs w:val="24"/>
        </w:rPr>
        <w:t>Hills,CA:Sage</w:t>
      </w:r>
      <w:proofErr w:type="spellEnd"/>
      <w:r w:rsidRPr="007D24A0">
        <w:rPr>
          <w:rFonts w:ascii="SimSun" w:hAnsi="SimSun" w:hint="eastAsia"/>
          <w:sz w:val="24"/>
          <w:szCs w:val="24"/>
        </w:rPr>
        <w:t>,</w:t>
      </w:r>
    </w:p>
    <w:p w14:paraId="722E847A" w14:textId="77777777" w:rsidR="007D24A0" w:rsidRPr="007D24A0" w:rsidRDefault="007D24A0" w:rsidP="007D24A0">
      <w:pPr>
        <w:spacing w:line="360" w:lineRule="auto"/>
        <w:rPr>
          <w:rFonts w:ascii="SimSun" w:hAnsi="SimSun"/>
          <w:sz w:val="24"/>
          <w:szCs w:val="24"/>
        </w:rPr>
      </w:pPr>
      <w:proofErr w:type="spellStart"/>
      <w:r w:rsidRPr="007D24A0">
        <w:rPr>
          <w:rFonts w:ascii="SimSun" w:hAnsi="SimSun" w:hint="eastAsia"/>
          <w:sz w:val="24"/>
          <w:szCs w:val="24"/>
        </w:rPr>
        <w:t>Isin</w:t>
      </w:r>
      <w:proofErr w:type="spellEnd"/>
      <w:r w:rsidRPr="007D24A0">
        <w:rPr>
          <w:rFonts w:ascii="SimSun" w:hAnsi="SimSun" w:hint="eastAsia"/>
          <w:sz w:val="24"/>
          <w:szCs w:val="24"/>
        </w:rPr>
        <w:t>，</w:t>
      </w:r>
      <w:proofErr w:type="spellStart"/>
      <w:r w:rsidRPr="007D24A0">
        <w:rPr>
          <w:rFonts w:ascii="SimSun" w:hAnsi="SimSun" w:hint="eastAsia"/>
          <w:sz w:val="24"/>
          <w:szCs w:val="24"/>
        </w:rPr>
        <w:t>Engin</w:t>
      </w:r>
      <w:proofErr w:type="spellEnd"/>
      <w:r w:rsidRPr="007D24A0">
        <w:rPr>
          <w:rFonts w:ascii="SimSun" w:hAnsi="SimSun" w:hint="eastAsia"/>
          <w:sz w:val="24"/>
          <w:szCs w:val="24"/>
        </w:rPr>
        <w:t xml:space="preserve"> F. &amp; Bryan Turner(eds.) ，2002，</w:t>
      </w:r>
      <w:r w:rsidRPr="007D24A0">
        <w:rPr>
          <w:rFonts w:ascii="SimSun" w:hAnsi="SimSun" w:hint="eastAsia"/>
          <w:i/>
          <w:sz w:val="24"/>
          <w:szCs w:val="24"/>
        </w:rPr>
        <w:t>Handbook of citizenship Studies</w:t>
      </w:r>
      <w:r w:rsidRPr="007D24A0">
        <w:rPr>
          <w:rFonts w:ascii="SimSun" w:hAnsi="SimSun" w:hint="eastAsia"/>
          <w:sz w:val="24"/>
          <w:szCs w:val="24"/>
        </w:rPr>
        <w:t>， London：SAGE Publications.</w:t>
      </w:r>
    </w:p>
    <w:p w14:paraId="7D9D22AB"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Marshall，T.H.,1964，</w:t>
      </w:r>
      <w:r w:rsidRPr="007D24A0">
        <w:rPr>
          <w:rFonts w:ascii="SimSun" w:hAnsi="SimSun" w:hint="eastAsia"/>
          <w:i/>
          <w:sz w:val="24"/>
          <w:szCs w:val="24"/>
        </w:rPr>
        <w:t xml:space="preserve">Class，Citizenship and Social </w:t>
      </w:r>
      <w:proofErr w:type="spellStart"/>
      <w:r w:rsidRPr="007D24A0">
        <w:rPr>
          <w:rFonts w:ascii="SimSun" w:hAnsi="SimSun" w:hint="eastAsia"/>
          <w:i/>
          <w:sz w:val="24"/>
          <w:szCs w:val="24"/>
        </w:rPr>
        <w:t>Development</w:t>
      </w:r>
      <w:r w:rsidRPr="007D24A0">
        <w:rPr>
          <w:rFonts w:ascii="SimSun" w:hAnsi="SimSun" w:hint="eastAsia"/>
          <w:sz w:val="24"/>
          <w:szCs w:val="24"/>
        </w:rPr>
        <w:t>,</w:t>
      </w:r>
      <w:r w:rsidRPr="007D24A0">
        <w:rPr>
          <w:rFonts w:ascii="SimSun" w:hAnsi="SimSun"/>
          <w:sz w:val="24"/>
          <w:szCs w:val="24"/>
        </w:rPr>
        <w:t>C</w:t>
      </w:r>
      <w:r w:rsidRPr="007D24A0">
        <w:rPr>
          <w:rFonts w:ascii="SimSun" w:hAnsi="SimSun" w:hint="eastAsia"/>
          <w:sz w:val="24"/>
          <w:szCs w:val="24"/>
        </w:rPr>
        <w:t>hicago</w:t>
      </w:r>
      <w:proofErr w:type="spellEnd"/>
      <w:r w:rsidRPr="007D24A0">
        <w:rPr>
          <w:rFonts w:ascii="SimSun" w:hAnsi="SimSun" w:hint="eastAsia"/>
          <w:sz w:val="24"/>
          <w:szCs w:val="24"/>
        </w:rPr>
        <w:t>：University of Chicago Press.</w:t>
      </w:r>
    </w:p>
    <w:p w14:paraId="1047FF1F" w14:textId="77777777" w:rsidR="007D24A0" w:rsidRPr="007D24A0" w:rsidRDefault="007D24A0" w:rsidP="007D24A0">
      <w:pPr>
        <w:spacing w:line="360" w:lineRule="auto"/>
        <w:rPr>
          <w:rFonts w:ascii="SimSun" w:hAnsi="SimSun"/>
          <w:sz w:val="24"/>
          <w:szCs w:val="24"/>
        </w:rPr>
      </w:pPr>
      <w:r w:rsidRPr="007D24A0">
        <w:rPr>
          <w:rFonts w:ascii="SimSun" w:hAnsi="SimSun" w:hint="eastAsia"/>
          <w:sz w:val="24"/>
          <w:szCs w:val="24"/>
        </w:rPr>
        <w:t xml:space="preserve">Turner，Bryan S.，2002，“Religion and Politics：The Elementary Forms of Citizenship，”in </w:t>
      </w:r>
      <w:proofErr w:type="spellStart"/>
      <w:r w:rsidRPr="007D24A0">
        <w:rPr>
          <w:rFonts w:ascii="SimSun" w:hAnsi="SimSun" w:hint="eastAsia"/>
          <w:sz w:val="24"/>
          <w:szCs w:val="24"/>
        </w:rPr>
        <w:t>EnginIsin</w:t>
      </w:r>
      <w:proofErr w:type="spellEnd"/>
      <w:r w:rsidRPr="007D24A0">
        <w:rPr>
          <w:rFonts w:ascii="SimSun" w:hAnsi="SimSun" w:hint="eastAsia"/>
          <w:sz w:val="24"/>
          <w:szCs w:val="24"/>
        </w:rPr>
        <w:t>&amp; Bryan Turner(eds.)，</w:t>
      </w:r>
      <w:r w:rsidRPr="007D24A0">
        <w:rPr>
          <w:rFonts w:ascii="SimSun" w:hAnsi="SimSun" w:hint="eastAsia"/>
          <w:i/>
          <w:sz w:val="24"/>
          <w:szCs w:val="24"/>
        </w:rPr>
        <w:t>Handbook of Citizenship Studies</w:t>
      </w:r>
      <w:r w:rsidRPr="007D24A0">
        <w:rPr>
          <w:rFonts w:ascii="SimSun" w:hAnsi="SimSun" w:hint="eastAsia"/>
          <w:sz w:val="24"/>
          <w:szCs w:val="24"/>
        </w:rPr>
        <w:t>, London：SAGE Publications.</w:t>
      </w:r>
    </w:p>
    <w:p w14:paraId="35130BA0" w14:textId="77777777" w:rsidR="007D24A0" w:rsidRPr="007D24A0" w:rsidRDefault="007D24A0" w:rsidP="007D24A0">
      <w:pPr>
        <w:spacing w:line="360" w:lineRule="auto"/>
        <w:rPr>
          <w:rFonts w:ascii="SimSun" w:hAnsi="SimSun" w:cs="Courier New"/>
          <w:sz w:val="24"/>
          <w:szCs w:val="24"/>
        </w:rPr>
      </w:pPr>
    </w:p>
    <w:p w14:paraId="36B1B7EA" w14:textId="77777777" w:rsidR="007D24A0" w:rsidRPr="007D24A0" w:rsidRDefault="007D24A0" w:rsidP="007D24A0">
      <w:pPr>
        <w:spacing w:line="360" w:lineRule="auto"/>
        <w:ind w:firstLineChars="196" w:firstLine="472"/>
        <w:rPr>
          <w:rFonts w:ascii="SimSun" w:hAnsi="SimSun" w:cs="Courier New"/>
          <w:b/>
          <w:bCs/>
          <w:sz w:val="24"/>
          <w:szCs w:val="24"/>
        </w:rPr>
      </w:pPr>
      <w:r w:rsidRPr="007D24A0">
        <w:rPr>
          <w:rFonts w:ascii="SimSun" w:hAnsi="SimSun" w:cs="Courier New" w:hint="eastAsia"/>
          <w:b/>
          <w:bCs/>
          <w:sz w:val="24"/>
          <w:szCs w:val="24"/>
        </w:rPr>
        <w:t>（三）注释</w:t>
      </w:r>
    </w:p>
    <w:p w14:paraId="5AE96E16"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注释是对正文中的术语、概念、观点和资料进行解释、辨析或评论的文字，从功能上说，相当于注释体例中的“内容性注释”，形式也与之完全一致。</w:t>
      </w:r>
    </w:p>
    <w:p w14:paraId="48313947"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注释序号用①，②，③……，或用右上角码1，2，3……，通过注释序号将正文中需要注释之处与页下注释准确对应联系。正文中的注释号通常置于包含术语、概念、观点的句子的</w:t>
      </w:r>
      <w:r w:rsidRPr="007D24A0">
        <w:rPr>
          <w:rFonts w:ascii="SimSun" w:hAnsi="SimSun" w:cs="Courier New" w:hint="eastAsia"/>
          <w:b/>
          <w:sz w:val="24"/>
          <w:szCs w:val="24"/>
        </w:rPr>
        <w:t>标点符号之后。</w:t>
      </w:r>
    </w:p>
    <w:p w14:paraId="236F393A"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如果注释中出现直接或间接引文及需要参考的文献，标注方式与正文相同，即采行“著者-出版年”方式标注，同样，相应的参考文献详细信息应列入文后参考文献表中，排列顺序也相同。</w:t>
      </w:r>
    </w:p>
    <w:p w14:paraId="7CF33724" w14:textId="77777777" w:rsidR="007D24A0" w:rsidRPr="007D24A0" w:rsidRDefault="007D24A0" w:rsidP="007D24A0">
      <w:pPr>
        <w:spacing w:line="360" w:lineRule="auto"/>
        <w:ind w:firstLineChars="200" w:firstLine="480"/>
        <w:rPr>
          <w:rFonts w:ascii="SimSun" w:hAnsi="SimSun" w:cs="Courier New"/>
          <w:sz w:val="24"/>
          <w:szCs w:val="24"/>
        </w:rPr>
      </w:pPr>
      <w:r w:rsidRPr="007D24A0">
        <w:rPr>
          <w:rFonts w:ascii="SimSun" w:hAnsi="SimSun" w:cs="Courier New" w:hint="eastAsia"/>
          <w:sz w:val="24"/>
          <w:szCs w:val="24"/>
        </w:rPr>
        <w:t>注释可放在当页，也可放在正文后，参考文献表之前。</w:t>
      </w:r>
    </w:p>
    <w:p w14:paraId="19974E73" w14:textId="77777777" w:rsidR="007D24A0" w:rsidRPr="007D24A0" w:rsidRDefault="007D24A0" w:rsidP="007D24A0">
      <w:pPr>
        <w:spacing w:line="360" w:lineRule="auto"/>
        <w:rPr>
          <w:rFonts w:ascii="SimSun" w:hAnsi="SimSun"/>
          <w:sz w:val="24"/>
          <w:szCs w:val="24"/>
        </w:rPr>
      </w:pPr>
    </w:p>
    <w:p w14:paraId="5CA95AAE" w14:textId="77777777" w:rsidR="00A66250" w:rsidRPr="007D24A0" w:rsidRDefault="00A66250"/>
    <w:sectPr w:rsidR="00A66250" w:rsidRPr="007D24A0" w:rsidSect="00F00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15D67" w14:textId="77777777" w:rsidR="00D616B8" w:rsidRDefault="00D616B8" w:rsidP="00E92A67">
      <w:r>
        <w:separator/>
      </w:r>
    </w:p>
  </w:endnote>
  <w:endnote w:type="continuationSeparator" w:id="0">
    <w:p w14:paraId="2179EAA5" w14:textId="77777777" w:rsidR="00D616B8" w:rsidRDefault="00D616B8" w:rsidP="00E9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6A4F" w14:textId="77777777" w:rsidR="00D616B8" w:rsidRDefault="00D616B8" w:rsidP="00E92A67">
      <w:r>
        <w:separator/>
      </w:r>
    </w:p>
  </w:footnote>
  <w:footnote w:type="continuationSeparator" w:id="0">
    <w:p w14:paraId="26D9B224" w14:textId="77777777" w:rsidR="00D616B8" w:rsidRDefault="00D616B8" w:rsidP="00E92A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A0"/>
    <w:rsid w:val="00101BB8"/>
    <w:rsid w:val="00130CD5"/>
    <w:rsid w:val="003B4CDB"/>
    <w:rsid w:val="00690FBD"/>
    <w:rsid w:val="006C640E"/>
    <w:rsid w:val="007369E0"/>
    <w:rsid w:val="007D24A0"/>
    <w:rsid w:val="008353AF"/>
    <w:rsid w:val="00927BD5"/>
    <w:rsid w:val="00A66250"/>
    <w:rsid w:val="00D616B8"/>
    <w:rsid w:val="00E92A67"/>
    <w:rsid w:val="00F002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BF17C"/>
  <w15:chartTrackingRefBased/>
  <w15:docId w15:val="{23B633E2-66A7-864C-90A5-A382B1E7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39"/>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2A6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rsid w:val="00E92A67"/>
    <w:rPr>
      <w:sz w:val="18"/>
      <w:szCs w:val="18"/>
    </w:rPr>
  </w:style>
  <w:style w:type="paragraph" w:styleId="Footer">
    <w:name w:val="footer"/>
    <w:basedOn w:val="Normal"/>
    <w:link w:val="FooterChar"/>
    <w:uiPriority w:val="99"/>
    <w:semiHidden/>
    <w:unhideWhenUsed/>
    <w:rsid w:val="00E92A67"/>
    <w:pPr>
      <w:tabs>
        <w:tab w:val="center" w:pos="4153"/>
        <w:tab w:val="right" w:pos="8306"/>
      </w:tabs>
      <w:snapToGrid w:val="0"/>
      <w:jc w:val="left"/>
    </w:pPr>
    <w:rPr>
      <w:sz w:val="18"/>
      <w:szCs w:val="18"/>
    </w:rPr>
  </w:style>
  <w:style w:type="character" w:customStyle="1" w:styleId="FooterChar">
    <w:name w:val="Footer Char"/>
    <w:link w:val="Footer"/>
    <w:uiPriority w:val="99"/>
    <w:semiHidden/>
    <w:rsid w:val="00E92A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sanghai</dc:creator>
  <cp:keywords/>
  <cp:lastModifiedBy>Ap0str0ph3</cp:lastModifiedBy>
  <cp:revision>2</cp:revision>
  <dcterms:created xsi:type="dcterms:W3CDTF">2022-12-29T11:43:00Z</dcterms:created>
  <dcterms:modified xsi:type="dcterms:W3CDTF">2022-12-29T11:43:00Z</dcterms:modified>
</cp:coreProperties>
</file>