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4AA5" w14:textId="63DCEFB9" w:rsidR="000517E4" w:rsidRPr="006F4618" w:rsidRDefault="000B16A7" w:rsidP="006F4618">
      <w:pPr>
        <w:spacing w:line="480" w:lineRule="auto"/>
        <w:jc w:val="center"/>
        <w:rPr>
          <w:rFonts w:ascii="Times New Roman" w:hAnsi="Times New Roman" w:cs="Times New Roman"/>
          <w:sz w:val="36"/>
          <w:szCs w:val="36"/>
        </w:rPr>
      </w:pPr>
      <w:r w:rsidRPr="000B16A7">
        <w:rPr>
          <w:rFonts w:ascii="Times New Roman" w:hAnsi="Times New Roman" w:cs="Times New Roman"/>
          <w:sz w:val="36"/>
          <w:szCs w:val="36"/>
        </w:rPr>
        <w:t xml:space="preserve">Motivational Factors Influencing Soil and Water Conservation Technology Practices in </w:t>
      </w:r>
      <w:r w:rsidR="00A24727" w:rsidRPr="000B16A7">
        <w:rPr>
          <w:rFonts w:ascii="Times New Roman" w:hAnsi="Times New Roman" w:cs="Times New Roman"/>
          <w:sz w:val="36"/>
          <w:szCs w:val="36"/>
        </w:rPr>
        <w:t>Tanzania</w:t>
      </w:r>
    </w:p>
    <w:p w14:paraId="0FA5E6F5" w14:textId="30E03BAE" w:rsidR="000B16A7" w:rsidRPr="00BB1426" w:rsidRDefault="000B16A7" w:rsidP="00BB1426">
      <w:pPr>
        <w:spacing w:line="480" w:lineRule="auto"/>
        <w:rPr>
          <w:rFonts w:ascii="Times New Roman" w:hAnsi="Times New Roman" w:cs="Times New Roman"/>
          <w:sz w:val="26"/>
          <w:szCs w:val="26"/>
        </w:rPr>
      </w:pPr>
      <w:r w:rsidRPr="00BB1426">
        <w:rPr>
          <w:rFonts w:ascii="Times New Roman" w:hAnsi="Times New Roman" w:cs="Times New Roman"/>
          <w:sz w:val="26"/>
          <w:szCs w:val="26"/>
        </w:rPr>
        <w:t xml:space="preserve">I. Introduction </w:t>
      </w:r>
    </w:p>
    <w:p w14:paraId="31C44055" w14:textId="6BB11D61" w:rsidR="000B16A7" w:rsidRDefault="00BB1426" w:rsidP="000517E4">
      <w:pPr>
        <w:spacing w:line="480" w:lineRule="auto"/>
        <w:ind w:firstLine="432"/>
        <w:rPr>
          <w:rFonts w:ascii="Times New Roman" w:hAnsi="Times New Roman" w:cs="Times New Roman"/>
        </w:rPr>
      </w:pPr>
      <w:r w:rsidRPr="00BB1426">
        <w:rPr>
          <w:rFonts w:ascii="Times New Roman" w:hAnsi="Times New Roman" w:cs="Times New Roman"/>
        </w:rPr>
        <w:t xml:space="preserve">Investments in </w:t>
      </w:r>
      <w:r>
        <w:rPr>
          <w:rFonts w:ascii="Times New Roman" w:hAnsi="Times New Roman" w:cs="Times New Roman"/>
        </w:rPr>
        <w:t xml:space="preserve">sustainable agriculture practices </w:t>
      </w:r>
      <w:r w:rsidR="00F728F5">
        <w:rPr>
          <w:rFonts w:ascii="Times New Roman" w:hAnsi="Times New Roman" w:cs="Times New Roman"/>
        </w:rPr>
        <w:t xml:space="preserve">(SAP) </w:t>
      </w:r>
      <w:r>
        <w:rPr>
          <w:rFonts w:ascii="Times New Roman" w:hAnsi="Times New Roman" w:cs="Times New Roman"/>
        </w:rPr>
        <w:t>in sub-Saharan Africa have resulted in increased production over the past years</w:t>
      </w:r>
      <w:r w:rsidR="00602F88">
        <w:rPr>
          <w:rFonts w:ascii="Times New Roman" w:hAnsi="Times New Roman" w:cs="Times New Roman"/>
        </w:rPr>
        <w:t xml:space="preserve">, but shortage of water for agriculture is still posing serious food insecurity to populations living in this area. </w:t>
      </w:r>
      <w:r w:rsidR="004A0302">
        <w:rPr>
          <w:rFonts w:ascii="Times New Roman" w:hAnsi="Times New Roman" w:cs="Times New Roman"/>
        </w:rPr>
        <w:t>The use of soil and water conservation</w:t>
      </w:r>
      <w:r w:rsidR="00A24727">
        <w:rPr>
          <w:rFonts w:ascii="Times New Roman" w:hAnsi="Times New Roman" w:cs="Times New Roman"/>
        </w:rPr>
        <w:t xml:space="preserve"> (SWC)</w:t>
      </w:r>
      <w:r w:rsidR="000A74FB">
        <w:rPr>
          <w:rFonts w:ascii="Times New Roman" w:hAnsi="Times New Roman" w:cs="Times New Roman"/>
        </w:rPr>
        <w:t>, including bench terraces, double digging, and cover crops, is proven efficiently to reduce soil and water erosion, thus retaining soil moisture</w:t>
      </w:r>
      <w:r w:rsidR="00A70070">
        <w:rPr>
          <w:rFonts w:ascii="Times New Roman" w:hAnsi="Times New Roman" w:cs="Times New Roman"/>
        </w:rPr>
        <w:t xml:space="preserve"> (Sanga, 2015)</w:t>
      </w:r>
      <w:r w:rsidR="000A74FB">
        <w:rPr>
          <w:rFonts w:ascii="Times New Roman" w:hAnsi="Times New Roman" w:cs="Times New Roman"/>
        </w:rPr>
        <w:t xml:space="preserve">. </w:t>
      </w:r>
      <w:r w:rsidR="00A70070">
        <w:rPr>
          <w:rFonts w:ascii="Times New Roman" w:hAnsi="Times New Roman" w:cs="Times New Roman"/>
        </w:rPr>
        <w:t xml:space="preserve">Despite the recognized benefits from sustainable agriculture practices and substantive efforts by national and international organizations to encourage sustainable practices, </w:t>
      </w:r>
      <w:r w:rsidR="00254409">
        <w:rPr>
          <w:rFonts w:ascii="Times New Roman" w:hAnsi="Times New Roman" w:cs="Times New Roman"/>
        </w:rPr>
        <w:t xml:space="preserve">the </w:t>
      </w:r>
      <w:r w:rsidR="00545B17" w:rsidRPr="00545B17">
        <w:rPr>
          <w:rFonts w:ascii="Times New Roman" w:hAnsi="Times New Roman" w:cs="Times New Roman"/>
        </w:rPr>
        <w:t xml:space="preserve">adoption of </w:t>
      </w:r>
      <w:r w:rsidR="00A24727">
        <w:rPr>
          <w:rFonts w:ascii="Times New Roman" w:hAnsi="Times New Roman" w:cs="Times New Roman"/>
        </w:rPr>
        <w:t>SWC</w:t>
      </w:r>
      <w:r w:rsidR="00545B17">
        <w:rPr>
          <w:rFonts w:ascii="Times New Roman" w:hAnsi="Times New Roman" w:cs="Times New Roman"/>
        </w:rPr>
        <w:t xml:space="preserve"> </w:t>
      </w:r>
      <w:r w:rsidR="00545B17" w:rsidRPr="00545B17">
        <w:rPr>
          <w:rFonts w:ascii="Times New Roman" w:hAnsi="Times New Roman" w:cs="Times New Roman"/>
        </w:rPr>
        <w:t xml:space="preserve">technologies in </w:t>
      </w:r>
      <w:r w:rsidR="00545B17">
        <w:rPr>
          <w:rFonts w:ascii="Times New Roman" w:hAnsi="Times New Roman" w:cs="Times New Roman"/>
        </w:rPr>
        <w:t>this area</w:t>
      </w:r>
      <w:r w:rsidR="00545B17" w:rsidRPr="00545B17">
        <w:rPr>
          <w:rFonts w:ascii="Times New Roman" w:hAnsi="Times New Roman" w:cs="Times New Roman"/>
        </w:rPr>
        <w:t xml:space="preserve"> is notably minimal</w:t>
      </w:r>
      <w:r w:rsidR="00A70070">
        <w:rPr>
          <w:rFonts w:ascii="Times New Roman" w:hAnsi="Times New Roman" w:cs="Times New Roman"/>
        </w:rPr>
        <w:t xml:space="preserve">. </w:t>
      </w:r>
      <w:r w:rsidR="00254409" w:rsidRPr="00545B17">
        <w:rPr>
          <w:rFonts w:ascii="Times New Roman" w:hAnsi="Times New Roman" w:cs="Times New Roman"/>
        </w:rPr>
        <w:t xml:space="preserve">Tanzania </w:t>
      </w:r>
      <w:r w:rsidR="00254409">
        <w:rPr>
          <w:rFonts w:ascii="Times New Roman" w:hAnsi="Times New Roman" w:cs="Times New Roman"/>
        </w:rPr>
        <w:t>presents as the case where the</w:t>
      </w:r>
      <w:r w:rsidR="00254409" w:rsidRPr="00545B17">
        <w:rPr>
          <w:rFonts w:ascii="Times New Roman" w:hAnsi="Times New Roman" w:cs="Times New Roman"/>
        </w:rPr>
        <w:t xml:space="preserve"> impact of drought leads to significant crop failures.</w:t>
      </w:r>
      <w:r w:rsidR="00254409">
        <w:rPr>
          <w:rFonts w:ascii="Times New Roman" w:hAnsi="Times New Roman" w:cs="Times New Roman"/>
        </w:rPr>
        <w:t xml:space="preserve"> </w:t>
      </w:r>
      <w:r w:rsidR="00545B17" w:rsidRPr="00545B17">
        <w:rPr>
          <w:rFonts w:ascii="Times New Roman" w:hAnsi="Times New Roman" w:cs="Times New Roman"/>
        </w:rPr>
        <w:t xml:space="preserve">Consequently, smallholder farmers in </w:t>
      </w:r>
      <w:r w:rsidR="00254409">
        <w:rPr>
          <w:rFonts w:ascii="Times New Roman" w:hAnsi="Times New Roman" w:cs="Times New Roman"/>
        </w:rPr>
        <w:t>the</w:t>
      </w:r>
      <w:r w:rsidR="00545B17" w:rsidRPr="00545B17">
        <w:rPr>
          <w:rFonts w:ascii="Times New Roman" w:hAnsi="Times New Roman" w:cs="Times New Roman"/>
        </w:rPr>
        <w:t xml:space="preserve"> </w:t>
      </w:r>
      <w:r w:rsidR="00254409">
        <w:rPr>
          <w:rFonts w:ascii="Times New Roman" w:hAnsi="Times New Roman" w:cs="Times New Roman"/>
        </w:rPr>
        <w:t>region</w:t>
      </w:r>
      <w:r w:rsidR="00545B17" w:rsidRPr="00545B17">
        <w:rPr>
          <w:rFonts w:ascii="Times New Roman" w:hAnsi="Times New Roman" w:cs="Times New Roman"/>
        </w:rPr>
        <w:t xml:space="preserve"> experience poverty and endure significant challenges related to food insecurity.</w:t>
      </w:r>
      <w:r w:rsidR="0062046A">
        <w:rPr>
          <w:rFonts w:ascii="Times New Roman" w:hAnsi="Times New Roman" w:cs="Times New Roman"/>
        </w:rPr>
        <w:t xml:space="preserve"> </w:t>
      </w:r>
    </w:p>
    <w:p w14:paraId="3C255744" w14:textId="28FA3672" w:rsidR="000517E4" w:rsidRDefault="000517E4" w:rsidP="000517E4">
      <w:pPr>
        <w:spacing w:line="480" w:lineRule="auto"/>
        <w:ind w:firstLine="432"/>
        <w:rPr>
          <w:rFonts w:ascii="Times New Roman" w:hAnsi="Times New Roman" w:cs="Times New Roman"/>
        </w:rPr>
      </w:pPr>
      <w:r>
        <w:rPr>
          <w:rFonts w:ascii="Times New Roman" w:hAnsi="Times New Roman" w:cs="Times New Roman"/>
        </w:rPr>
        <w:t xml:space="preserve">Determinants of the acceptance and use of </w:t>
      </w:r>
      <w:r w:rsidR="009A639D">
        <w:rPr>
          <w:rFonts w:ascii="Times New Roman" w:hAnsi="Times New Roman" w:cs="Times New Roman"/>
        </w:rPr>
        <w:t>sustainable</w:t>
      </w:r>
      <w:r>
        <w:rPr>
          <w:rFonts w:ascii="Times New Roman" w:hAnsi="Times New Roman" w:cs="Times New Roman"/>
        </w:rPr>
        <w:t xml:space="preserve"> technologies can vary between different practices. While socio-economic factors (age, gender, education, etc.) are paid considerable attention in </w:t>
      </w:r>
      <w:r w:rsidR="00A24727">
        <w:rPr>
          <w:rFonts w:ascii="Times New Roman" w:hAnsi="Times New Roman" w:cs="Times New Roman"/>
        </w:rPr>
        <w:t>the analysis</w:t>
      </w:r>
      <w:r>
        <w:rPr>
          <w:rFonts w:ascii="Times New Roman" w:hAnsi="Times New Roman" w:cs="Times New Roman"/>
        </w:rPr>
        <w:t xml:space="preserve">, socio-psychological features (motivation, peer pressure, etc.) are receiving less attention in the adoption decisions. </w:t>
      </w:r>
      <w:r w:rsidR="009A0C40">
        <w:rPr>
          <w:rFonts w:ascii="Times New Roman" w:hAnsi="Times New Roman" w:cs="Times New Roman"/>
        </w:rPr>
        <w:t>Some studies have underscored the significance of environment</w:t>
      </w:r>
      <w:r w:rsidR="00BC58BE">
        <w:rPr>
          <w:rFonts w:ascii="Times New Roman" w:hAnsi="Times New Roman" w:cs="Times New Roman"/>
        </w:rPr>
        <w:t>al</w:t>
      </w:r>
      <w:r w:rsidR="009A0C40">
        <w:rPr>
          <w:rFonts w:ascii="Times New Roman" w:hAnsi="Times New Roman" w:cs="Times New Roman"/>
        </w:rPr>
        <w:t xml:space="preserve"> and economic motivations that influence farmers’ adoption decisions (</w:t>
      </w:r>
      <w:proofErr w:type="spellStart"/>
      <w:r w:rsidR="009A0C40" w:rsidRPr="009A0C40">
        <w:rPr>
          <w:rFonts w:ascii="Times New Roman" w:hAnsi="Times New Roman" w:cs="Times New Roman"/>
        </w:rPr>
        <w:t>Zabala</w:t>
      </w:r>
      <w:proofErr w:type="spellEnd"/>
      <w:r w:rsidR="009A0C40" w:rsidRPr="009A0C40">
        <w:rPr>
          <w:rFonts w:ascii="Times New Roman" w:hAnsi="Times New Roman" w:cs="Times New Roman"/>
        </w:rPr>
        <w:t xml:space="preserve"> et al., 2017</w:t>
      </w:r>
      <w:r w:rsidR="009A0C40">
        <w:rPr>
          <w:rFonts w:ascii="Times New Roman" w:hAnsi="Times New Roman" w:cs="Times New Roman"/>
        </w:rPr>
        <w:t xml:space="preserve">). </w:t>
      </w:r>
      <w:r w:rsidR="00BB0DA1">
        <w:rPr>
          <w:rFonts w:ascii="Times New Roman" w:hAnsi="Times New Roman" w:cs="Times New Roman"/>
        </w:rPr>
        <w:t xml:space="preserve">However, </w:t>
      </w:r>
      <w:r w:rsidR="00DA1C49">
        <w:rPr>
          <w:rFonts w:ascii="Times New Roman" w:hAnsi="Times New Roman" w:cs="Times New Roman"/>
        </w:rPr>
        <w:t>individual motivations</w:t>
      </w:r>
      <w:r w:rsidR="00A24727">
        <w:rPr>
          <w:rFonts w:ascii="Times New Roman" w:hAnsi="Times New Roman" w:cs="Times New Roman"/>
        </w:rPr>
        <w:t xml:space="preserve">, </w:t>
      </w:r>
      <w:r w:rsidR="00DA1C49">
        <w:rPr>
          <w:rFonts w:ascii="Times New Roman" w:hAnsi="Times New Roman" w:cs="Times New Roman"/>
        </w:rPr>
        <w:t>instead of interacting factors within the community</w:t>
      </w:r>
      <w:r w:rsidR="00A24727">
        <w:rPr>
          <w:rFonts w:ascii="Times New Roman" w:hAnsi="Times New Roman" w:cs="Times New Roman"/>
        </w:rPr>
        <w:t xml:space="preserve">, </w:t>
      </w:r>
      <w:r w:rsidR="00CD7796">
        <w:rPr>
          <w:rFonts w:ascii="Times New Roman" w:hAnsi="Times New Roman" w:cs="Times New Roman"/>
        </w:rPr>
        <w:t xml:space="preserve">are </w:t>
      </w:r>
      <w:r w:rsidR="00A24727">
        <w:rPr>
          <w:rFonts w:ascii="Times New Roman" w:hAnsi="Times New Roman" w:cs="Times New Roman"/>
        </w:rPr>
        <w:t>given</w:t>
      </w:r>
      <w:r w:rsidR="00CD7796">
        <w:rPr>
          <w:rFonts w:ascii="Times New Roman" w:hAnsi="Times New Roman" w:cs="Times New Roman"/>
        </w:rPr>
        <w:t xml:space="preserve"> more attention in those studies</w:t>
      </w:r>
      <w:r w:rsidR="00DA1C49">
        <w:rPr>
          <w:rFonts w:ascii="Times New Roman" w:hAnsi="Times New Roman" w:cs="Times New Roman"/>
        </w:rPr>
        <w:t xml:space="preserve">. </w:t>
      </w:r>
      <w:r w:rsidR="00CD7796">
        <w:rPr>
          <w:rFonts w:ascii="Times New Roman" w:hAnsi="Times New Roman" w:cs="Times New Roman"/>
        </w:rPr>
        <w:t xml:space="preserve">Therefore, the objective of this study is to </w:t>
      </w:r>
      <w:r w:rsidR="00A24727">
        <w:rPr>
          <w:rFonts w:ascii="Times New Roman" w:hAnsi="Times New Roman" w:cs="Times New Roman"/>
        </w:rPr>
        <w:t xml:space="preserve">assess the effect of motivations on farmers’ decisions to adopt SWC, using farm household data from Tanzania. We expect the finding would contribute as the supplement to </w:t>
      </w:r>
      <w:r w:rsidR="00A24727">
        <w:rPr>
          <w:rFonts w:ascii="Times New Roman" w:hAnsi="Times New Roman" w:cs="Times New Roman"/>
        </w:rPr>
        <w:lastRenderedPageBreak/>
        <w:t xml:space="preserve">literature on how </w:t>
      </w:r>
      <w:r w:rsidR="00A24727" w:rsidRPr="00A24727">
        <w:rPr>
          <w:rFonts w:ascii="Times New Roman" w:hAnsi="Times New Roman" w:cs="Times New Roman"/>
        </w:rPr>
        <w:t>motivations influence farmers’ decisions to adopt agricultural technologies and farming practices.</w:t>
      </w:r>
      <w:r w:rsidR="00A24727">
        <w:rPr>
          <w:rFonts w:ascii="Times New Roman" w:hAnsi="Times New Roman" w:cs="Times New Roman"/>
        </w:rPr>
        <w:t xml:space="preserve"> </w:t>
      </w:r>
    </w:p>
    <w:p w14:paraId="7616C220" w14:textId="77777777" w:rsidR="000B16A7" w:rsidRDefault="000B16A7" w:rsidP="00BB1426">
      <w:pPr>
        <w:spacing w:line="480" w:lineRule="auto"/>
        <w:ind w:left="360"/>
        <w:rPr>
          <w:rFonts w:ascii="Times New Roman" w:hAnsi="Times New Roman" w:cs="Times New Roman"/>
        </w:rPr>
      </w:pPr>
    </w:p>
    <w:p w14:paraId="5C829AC4" w14:textId="32C3CB07" w:rsidR="00A24727" w:rsidRPr="00404400" w:rsidRDefault="000B16A7" w:rsidP="00A24727">
      <w:pPr>
        <w:spacing w:line="480" w:lineRule="auto"/>
        <w:rPr>
          <w:rFonts w:ascii="Times New Roman" w:hAnsi="Times New Roman" w:cs="Times New Roman"/>
        </w:rPr>
      </w:pPr>
      <w:r w:rsidRPr="00404400">
        <w:rPr>
          <w:rFonts w:ascii="Times New Roman" w:hAnsi="Times New Roman" w:cs="Times New Roman"/>
        </w:rPr>
        <w:t>II</w:t>
      </w:r>
      <w:r w:rsidR="00A24727" w:rsidRPr="00404400">
        <w:rPr>
          <w:rFonts w:ascii="Times New Roman" w:hAnsi="Times New Roman" w:cs="Times New Roman"/>
        </w:rPr>
        <w:t xml:space="preserve">. </w:t>
      </w:r>
      <w:r w:rsidR="005A458E" w:rsidRPr="00404400">
        <w:rPr>
          <w:rFonts w:ascii="Times New Roman" w:hAnsi="Times New Roman" w:cs="Times New Roman"/>
        </w:rPr>
        <w:t xml:space="preserve">Literature Review </w:t>
      </w:r>
    </w:p>
    <w:p w14:paraId="104CE9DE" w14:textId="0E77837E" w:rsidR="00294EDC" w:rsidRDefault="00404400" w:rsidP="00965BC7">
      <w:pPr>
        <w:spacing w:line="480" w:lineRule="auto"/>
        <w:ind w:firstLine="432"/>
        <w:rPr>
          <w:rFonts w:ascii="Times New Roman" w:hAnsi="Times New Roman" w:cs="Times New Roman"/>
        </w:rPr>
      </w:pPr>
      <w:r w:rsidRPr="00404400">
        <w:rPr>
          <w:rFonts w:ascii="Times New Roman" w:hAnsi="Times New Roman" w:cs="Times New Roman"/>
        </w:rPr>
        <w:t>Co</w:t>
      </w:r>
      <w:r>
        <w:rPr>
          <w:rFonts w:ascii="Times New Roman" w:hAnsi="Times New Roman" w:cs="Times New Roman"/>
        </w:rPr>
        <w:t xml:space="preserve">mmon factors that influence the adoption of </w:t>
      </w:r>
      <w:r w:rsidR="00F728F5">
        <w:rPr>
          <w:rFonts w:ascii="Times New Roman" w:hAnsi="Times New Roman" w:cs="Times New Roman"/>
        </w:rPr>
        <w:t>SAP</w:t>
      </w:r>
      <w:r>
        <w:rPr>
          <w:rFonts w:ascii="Times New Roman" w:hAnsi="Times New Roman" w:cs="Times New Roman"/>
        </w:rPr>
        <w:t xml:space="preserve"> can be split into </w:t>
      </w:r>
      <w:r w:rsidR="000B4C44">
        <w:rPr>
          <w:rFonts w:ascii="Times New Roman" w:hAnsi="Times New Roman" w:cs="Times New Roman"/>
        </w:rPr>
        <w:t>three</w:t>
      </w:r>
      <w:r>
        <w:rPr>
          <w:rFonts w:ascii="Times New Roman" w:hAnsi="Times New Roman" w:cs="Times New Roman"/>
        </w:rPr>
        <w:t xml:space="preserve"> dimensions: socio-economic factors, informational factors, and psychological factors (</w:t>
      </w:r>
      <w:r w:rsidRPr="00404400">
        <w:rPr>
          <w:rFonts w:ascii="Times New Roman" w:hAnsi="Times New Roman" w:cs="Times New Roman"/>
        </w:rPr>
        <w:t>Tey and Brindal</w:t>
      </w:r>
      <w:r>
        <w:rPr>
          <w:rFonts w:ascii="Times New Roman" w:hAnsi="Times New Roman" w:cs="Times New Roman"/>
        </w:rPr>
        <w:t xml:space="preserve">, 2012). The socio-economic dimension characterizes </w:t>
      </w:r>
      <w:r w:rsidRPr="00404400">
        <w:rPr>
          <w:rFonts w:ascii="Times New Roman" w:hAnsi="Times New Roman" w:cs="Times New Roman"/>
        </w:rPr>
        <w:t>social and economic conditions that shape the lives and opportunities of individual</w:t>
      </w:r>
      <w:r>
        <w:rPr>
          <w:rFonts w:ascii="Times New Roman" w:hAnsi="Times New Roman" w:cs="Times New Roman"/>
        </w:rPr>
        <w:t xml:space="preserve"> household. Some common </w:t>
      </w:r>
      <w:r w:rsidR="00D059DE">
        <w:rPr>
          <w:rFonts w:ascii="Times New Roman" w:hAnsi="Times New Roman" w:cs="Times New Roman"/>
        </w:rPr>
        <w:t xml:space="preserve">factors </w:t>
      </w:r>
      <w:proofErr w:type="gramStart"/>
      <w:r w:rsidR="00D059DE">
        <w:rPr>
          <w:rFonts w:ascii="Times New Roman" w:hAnsi="Times New Roman" w:cs="Times New Roman"/>
        </w:rPr>
        <w:t>include:</w:t>
      </w:r>
      <w:proofErr w:type="gramEnd"/>
      <w:r w:rsidR="00D059DE">
        <w:rPr>
          <w:rFonts w:ascii="Times New Roman" w:hAnsi="Times New Roman" w:cs="Times New Roman"/>
        </w:rPr>
        <w:t xml:space="preserve"> age, gender, education level, </w:t>
      </w:r>
      <w:r w:rsidR="00631FEB">
        <w:rPr>
          <w:rFonts w:ascii="Times New Roman" w:hAnsi="Times New Roman" w:cs="Times New Roman"/>
        </w:rPr>
        <w:t xml:space="preserve">household size, and farm size. Male farmers often have greater access to resources </w:t>
      </w:r>
      <w:r w:rsidR="00F728F5">
        <w:rPr>
          <w:rFonts w:ascii="Times New Roman" w:hAnsi="Times New Roman" w:cs="Times New Roman"/>
        </w:rPr>
        <w:t xml:space="preserve">and thus more information regarding with sustainable practices. </w:t>
      </w:r>
      <w:proofErr w:type="gramStart"/>
      <w:r w:rsidR="00F728F5">
        <w:rPr>
          <w:rFonts w:ascii="Times New Roman" w:hAnsi="Times New Roman" w:cs="Times New Roman"/>
        </w:rPr>
        <w:t>In reality, the</w:t>
      </w:r>
      <w:proofErr w:type="gramEnd"/>
      <w:r w:rsidR="00F728F5" w:rsidRPr="00F728F5">
        <w:rPr>
          <w:rFonts w:ascii="Times New Roman" w:hAnsi="Times New Roman" w:cs="Times New Roman"/>
        </w:rPr>
        <w:t xml:space="preserve"> impact of gender varies across diverse practices.</w:t>
      </w:r>
      <w:r w:rsidR="00F728F5">
        <w:rPr>
          <w:rFonts w:ascii="Times New Roman" w:hAnsi="Times New Roman" w:cs="Times New Roman"/>
        </w:rPr>
        <w:t xml:space="preserve"> For example, in Nigeria, female farmers are less likely to adopt improved seeds and mixed cropping</w:t>
      </w:r>
      <w:r w:rsidR="0074204E">
        <w:rPr>
          <w:rFonts w:ascii="Times New Roman" w:hAnsi="Times New Roman" w:cs="Times New Roman"/>
        </w:rPr>
        <w:t xml:space="preserve"> technologies</w:t>
      </w:r>
      <w:r w:rsidR="00965BC7">
        <w:rPr>
          <w:rFonts w:ascii="Times New Roman" w:hAnsi="Times New Roman" w:cs="Times New Roman"/>
        </w:rPr>
        <w:t xml:space="preserve">, while no disparities are observed in the adoption of inorganic fertilizer </w:t>
      </w:r>
      <w:r w:rsidR="00F728F5">
        <w:rPr>
          <w:rFonts w:ascii="Times New Roman" w:hAnsi="Times New Roman" w:cs="Times New Roman"/>
        </w:rPr>
        <w:t>(</w:t>
      </w:r>
      <w:proofErr w:type="spellStart"/>
      <w:r w:rsidR="00F728F5" w:rsidRPr="00F728F5">
        <w:rPr>
          <w:rFonts w:ascii="Times New Roman" w:hAnsi="Times New Roman" w:cs="Times New Roman"/>
        </w:rPr>
        <w:t>Oyetunde</w:t>
      </w:r>
      <w:proofErr w:type="spellEnd"/>
      <w:r w:rsidR="00F728F5" w:rsidRPr="00F728F5">
        <w:rPr>
          <w:rFonts w:ascii="Times New Roman" w:hAnsi="Times New Roman" w:cs="Times New Roman"/>
        </w:rPr>
        <w:t>-Usman</w:t>
      </w:r>
      <w:r w:rsidR="00F728F5">
        <w:rPr>
          <w:rFonts w:ascii="Times New Roman" w:hAnsi="Times New Roman" w:cs="Times New Roman"/>
        </w:rPr>
        <w:t xml:space="preserve">, 2021). </w:t>
      </w:r>
      <w:r w:rsidR="009D3AE7">
        <w:rPr>
          <w:rFonts w:ascii="Times New Roman" w:hAnsi="Times New Roman" w:cs="Times New Roman"/>
        </w:rPr>
        <w:t>In contrast, female household heads in Malaysia are more likely to adopt intercropping (</w:t>
      </w:r>
      <w:proofErr w:type="spellStart"/>
      <w:r w:rsidR="009D3AE7">
        <w:rPr>
          <w:rFonts w:ascii="Times New Roman" w:hAnsi="Times New Roman" w:cs="Times New Roman"/>
        </w:rPr>
        <w:t>Tey</w:t>
      </w:r>
      <w:proofErr w:type="spellEnd"/>
      <w:r w:rsidR="009D3AE7">
        <w:rPr>
          <w:rFonts w:ascii="Times New Roman" w:hAnsi="Times New Roman" w:cs="Times New Roman"/>
        </w:rPr>
        <w:t xml:space="preserve">, 2013). </w:t>
      </w:r>
      <w:r w:rsidR="00965BC7" w:rsidRPr="00965BC7">
        <w:rPr>
          <w:rFonts w:ascii="Times New Roman" w:hAnsi="Times New Roman" w:cs="Times New Roman"/>
        </w:rPr>
        <w:t>Elderly farmers tend to have a more limited perspective on their future careers</w:t>
      </w:r>
      <w:r w:rsidR="00965BC7">
        <w:rPr>
          <w:rFonts w:ascii="Times New Roman" w:hAnsi="Times New Roman" w:cs="Times New Roman"/>
        </w:rPr>
        <w:t xml:space="preserve"> and are less likely to accept new technologies</w:t>
      </w:r>
      <w:r w:rsidR="0074204E">
        <w:rPr>
          <w:rFonts w:ascii="Times New Roman" w:hAnsi="Times New Roman" w:cs="Times New Roman"/>
        </w:rPr>
        <w:t xml:space="preserve"> (Souza, Cyphers, and Phipps, 2016)</w:t>
      </w:r>
      <w:r w:rsidR="00965BC7">
        <w:rPr>
          <w:rFonts w:ascii="Times New Roman" w:hAnsi="Times New Roman" w:cs="Times New Roman"/>
        </w:rPr>
        <w:t xml:space="preserve">. </w:t>
      </w:r>
      <w:r w:rsidR="0074204E">
        <w:rPr>
          <w:rFonts w:ascii="Times New Roman" w:hAnsi="Times New Roman" w:cs="Times New Roman"/>
        </w:rPr>
        <w:t>Higher education levels</w:t>
      </w:r>
      <w:r w:rsidR="0074204E" w:rsidRPr="0074204E">
        <w:rPr>
          <w:rFonts w:ascii="Times New Roman" w:hAnsi="Times New Roman" w:cs="Times New Roman"/>
        </w:rPr>
        <w:t xml:space="preserve"> provide farmers with enhanced capability to handle new ideas.</w:t>
      </w:r>
      <w:r w:rsidR="0074204E">
        <w:rPr>
          <w:rFonts w:ascii="Times New Roman" w:hAnsi="Times New Roman" w:cs="Times New Roman"/>
        </w:rPr>
        <w:t xml:space="preserve"> </w:t>
      </w:r>
      <w:r w:rsidR="009839F6">
        <w:rPr>
          <w:rFonts w:ascii="Times New Roman" w:hAnsi="Times New Roman" w:cs="Times New Roman"/>
        </w:rPr>
        <w:t xml:space="preserve">The significance </w:t>
      </w:r>
      <w:r w:rsidR="00881BF3">
        <w:rPr>
          <w:rFonts w:ascii="Times New Roman" w:hAnsi="Times New Roman" w:cs="Times New Roman"/>
        </w:rPr>
        <w:t xml:space="preserve">level </w:t>
      </w:r>
      <w:r w:rsidR="009839F6">
        <w:rPr>
          <w:rFonts w:ascii="Times New Roman" w:hAnsi="Times New Roman" w:cs="Times New Roman"/>
        </w:rPr>
        <w:t xml:space="preserve">of education towards the </w:t>
      </w:r>
      <w:r w:rsidR="00881BF3">
        <w:rPr>
          <w:rFonts w:ascii="Times New Roman" w:hAnsi="Times New Roman" w:cs="Times New Roman"/>
        </w:rPr>
        <w:t xml:space="preserve">adoption probability of </w:t>
      </w:r>
      <w:r w:rsidR="009839F6">
        <w:rPr>
          <w:rFonts w:ascii="Times New Roman" w:hAnsi="Times New Roman" w:cs="Times New Roman"/>
        </w:rPr>
        <w:t>same technology is not constant through different areas (</w:t>
      </w:r>
      <w:proofErr w:type="spellStart"/>
      <w:r w:rsidR="009839F6">
        <w:rPr>
          <w:rFonts w:ascii="Times New Roman" w:hAnsi="Times New Roman" w:cs="Times New Roman"/>
        </w:rPr>
        <w:t>Mgomenzulu</w:t>
      </w:r>
      <w:proofErr w:type="spellEnd"/>
      <w:r w:rsidR="009839F6">
        <w:rPr>
          <w:rFonts w:ascii="Times New Roman" w:hAnsi="Times New Roman" w:cs="Times New Roman"/>
        </w:rPr>
        <w:t xml:space="preserve"> and </w:t>
      </w:r>
      <w:proofErr w:type="spellStart"/>
      <w:r w:rsidR="009839F6">
        <w:rPr>
          <w:rFonts w:ascii="Times New Roman" w:hAnsi="Times New Roman" w:cs="Times New Roman"/>
        </w:rPr>
        <w:t>Machira</w:t>
      </w:r>
      <w:proofErr w:type="spellEnd"/>
      <w:r w:rsidR="009839F6">
        <w:rPr>
          <w:rFonts w:ascii="Times New Roman" w:hAnsi="Times New Roman" w:cs="Times New Roman"/>
        </w:rPr>
        <w:t>, 2023). The household size reflects the availability of labor</w:t>
      </w:r>
      <w:r w:rsidR="004B7A2D">
        <w:rPr>
          <w:rFonts w:ascii="Times New Roman" w:hAnsi="Times New Roman" w:cs="Times New Roman"/>
        </w:rPr>
        <w:t>, which plays a key role in labor-intensive SAP technologies. Larger farm size increases the capacity of households to manage benefits and risks associated with SAP technologies</w:t>
      </w:r>
      <w:r w:rsidR="00816178">
        <w:rPr>
          <w:rFonts w:ascii="Times New Roman" w:hAnsi="Times New Roman" w:cs="Times New Roman"/>
        </w:rPr>
        <w:t xml:space="preserve"> (Mellon-</w:t>
      </w:r>
      <w:proofErr w:type="spellStart"/>
      <w:r w:rsidR="00816178">
        <w:rPr>
          <w:rFonts w:ascii="Times New Roman" w:hAnsi="Times New Roman" w:cs="Times New Roman"/>
        </w:rPr>
        <w:t>Bedi</w:t>
      </w:r>
      <w:proofErr w:type="spellEnd"/>
      <w:r w:rsidR="00816178">
        <w:rPr>
          <w:rFonts w:ascii="Times New Roman" w:hAnsi="Times New Roman" w:cs="Times New Roman"/>
        </w:rPr>
        <w:t xml:space="preserve">, 2020). Hence, most of those socio-economic factors are expected to exaggerate adoption rate, but the significance </w:t>
      </w:r>
      <w:r w:rsidR="00881BF3">
        <w:rPr>
          <w:rFonts w:ascii="Times New Roman" w:hAnsi="Times New Roman" w:cs="Times New Roman"/>
        </w:rPr>
        <w:t>is</w:t>
      </w:r>
      <w:r w:rsidR="00816178">
        <w:rPr>
          <w:rFonts w:ascii="Times New Roman" w:hAnsi="Times New Roman" w:cs="Times New Roman"/>
        </w:rPr>
        <w:t xml:space="preserve"> uncertain through different technologies and locations. </w:t>
      </w:r>
    </w:p>
    <w:p w14:paraId="131DA1AA" w14:textId="0CDD81E6" w:rsidR="00E0162B" w:rsidRDefault="00E0162B" w:rsidP="00965BC7">
      <w:pPr>
        <w:spacing w:line="480" w:lineRule="auto"/>
        <w:ind w:firstLine="432"/>
        <w:rPr>
          <w:rFonts w:ascii="Times New Roman" w:hAnsi="Times New Roman" w:cs="Times New Roman"/>
        </w:rPr>
      </w:pPr>
      <w:r>
        <w:rPr>
          <w:rFonts w:ascii="Times New Roman" w:hAnsi="Times New Roman" w:cs="Times New Roman"/>
        </w:rPr>
        <w:lastRenderedPageBreak/>
        <w:t>Accessing to credit offers stronger capacity to make investment and bear the risk resulting from adoption</w:t>
      </w:r>
      <w:r w:rsidR="00DC3ED9">
        <w:rPr>
          <w:rFonts w:ascii="Times New Roman" w:hAnsi="Times New Roman" w:cs="Times New Roman"/>
        </w:rPr>
        <w:t xml:space="preserve"> (Tey, 2013)</w:t>
      </w:r>
      <w:r>
        <w:rPr>
          <w:rFonts w:ascii="Times New Roman" w:hAnsi="Times New Roman" w:cs="Times New Roman"/>
        </w:rPr>
        <w:t xml:space="preserve">. </w:t>
      </w:r>
      <w:r w:rsidR="00DC3ED9">
        <w:rPr>
          <w:rFonts w:ascii="Times New Roman" w:hAnsi="Times New Roman" w:cs="Times New Roman"/>
        </w:rPr>
        <w:t xml:space="preserve">Livestock can be additional income to cover the cost by </w:t>
      </w:r>
      <w:r w:rsidR="00BC58BE">
        <w:rPr>
          <w:rFonts w:ascii="Times New Roman" w:hAnsi="Times New Roman" w:cs="Times New Roman"/>
        </w:rPr>
        <w:t>applying</w:t>
      </w:r>
      <w:r w:rsidR="00DC3ED9">
        <w:rPr>
          <w:rFonts w:ascii="Times New Roman" w:hAnsi="Times New Roman" w:cs="Times New Roman"/>
        </w:rPr>
        <w:t xml:space="preserve"> SAP technologies</w:t>
      </w:r>
      <w:r w:rsidR="00BC58BE">
        <w:rPr>
          <w:rFonts w:ascii="Times New Roman" w:hAnsi="Times New Roman" w:cs="Times New Roman"/>
        </w:rPr>
        <w:t xml:space="preserve"> </w:t>
      </w:r>
      <w:r w:rsidR="00DC3ED9">
        <w:rPr>
          <w:rFonts w:ascii="Times New Roman" w:hAnsi="Times New Roman" w:cs="Times New Roman"/>
        </w:rPr>
        <w:t>(</w:t>
      </w:r>
      <w:proofErr w:type="spellStart"/>
      <w:r w:rsidR="00DC3ED9">
        <w:rPr>
          <w:rFonts w:ascii="Times New Roman" w:hAnsi="Times New Roman" w:cs="Times New Roman"/>
        </w:rPr>
        <w:t>Teklewold</w:t>
      </w:r>
      <w:proofErr w:type="spellEnd"/>
      <w:r w:rsidR="00DC3ED9">
        <w:rPr>
          <w:rFonts w:ascii="Times New Roman" w:hAnsi="Times New Roman" w:cs="Times New Roman"/>
        </w:rPr>
        <w:t xml:space="preserve"> and Kassie, 2013). </w:t>
      </w:r>
    </w:p>
    <w:p w14:paraId="4996CEB7" w14:textId="4E50A298" w:rsidR="00DC3ED9" w:rsidRDefault="00DC3ED9" w:rsidP="00405080">
      <w:pPr>
        <w:spacing w:line="480" w:lineRule="auto"/>
        <w:ind w:firstLine="432"/>
        <w:rPr>
          <w:rFonts w:ascii="Times New Roman" w:hAnsi="Times New Roman" w:cs="Times New Roman"/>
        </w:rPr>
      </w:pPr>
      <w:r>
        <w:rPr>
          <w:rFonts w:ascii="Times New Roman" w:hAnsi="Times New Roman" w:cs="Times New Roman"/>
        </w:rPr>
        <w:t xml:space="preserve">Informational access, including climate information and finance information, can be proxied by access to smartphone, radio, or any training program. </w:t>
      </w:r>
      <w:r w:rsidR="00405080">
        <w:rPr>
          <w:rFonts w:ascii="Times New Roman" w:hAnsi="Times New Roman" w:cs="Times New Roman"/>
        </w:rPr>
        <w:t>Distance to the main market can also reflect</w:t>
      </w:r>
      <w:r w:rsidR="00AB4850">
        <w:rPr>
          <w:rFonts w:ascii="Times New Roman" w:hAnsi="Times New Roman" w:cs="Times New Roman"/>
        </w:rPr>
        <w:t xml:space="preserve"> the </w:t>
      </w:r>
      <w:r w:rsidR="00405080">
        <w:rPr>
          <w:rFonts w:ascii="Times New Roman" w:hAnsi="Times New Roman" w:cs="Times New Roman"/>
        </w:rPr>
        <w:t xml:space="preserve">information access </w:t>
      </w:r>
      <w:r w:rsidR="00AB4850">
        <w:rPr>
          <w:rFonts w:ascii="Times New Roman" w:hAnsi="Times New Roman" w:cs="Times New Roman"/>
        </w:rPr>
        <w:t>in addition to</w:t>
      </w:r>
      <w:r w:rsidR="00405080">
        <w:rPr>
          <w:rFonts w:ascii="Times New Roman" w:hAnsi="Times New Roman" w:cs="Times New Roman"/>
        </w:rPr>
        <w:t xml:space="preserve"> the financial capacity of the household. </w:t>
      </w:r>
      <w:r>
        <w:rPr>
          <w:rFonts w:ascii="Times New Roman" w:hAnsi="Times New Roman" w:cs="Times New Roman"/>
        </w:rPr>
        <w:t xml:space="preserve">Farmers are assumed to understand the information and </w:t>
      </w:r>
      <w:r w:rsidR="00405080">
        <w:rPr>
          <w:rFonts w:ascii="Times New Roman" w:hAnsi="Times New Roman" w:cs="Times New Roman"/>
        </w:rPr>
        <w:t>to be able to</w:t>
      </w:r>
      <w:r>
        <w:rPr>
          <w:rFonts w:ascii="Times New Roman" w:hAnsi="Times New Roman" w:cs="Times New Roman"/>
        </w:rPr>
        <w:t xml:space="preserve"> use it. Generally, access to relevant information </w:t>
      </w:r>
      <w:r w:rsidR="00405080">
        <w:rPr>
          <w:rFonts w:ascii="Times New Roman" w:hAnsi="Times New Roman" w:cs="Times New Roman"/>
        </w:rPr>
        <w:t>on SAP technologies can lead to higher adoption rate (</w:t>
      </w:r>
      <w:proofErr w:type="spellStart"/>
      <w:r w:rsidR="00405080">
        <w:rPr>
          <w:rFonts w:ascii="Times New Roman" w:hAnsi="Times New Roman" w:cs="Times New Roman"/>
        </w:rPr>
        <w:t>Mgomezum</w:t>
      </w:r>
      <w:proofErr w:type="spellEnd"/>
      <w:r w:rsidR="00405080">
        <w:rPr>
          <w:rFonts w:ascii="Times New Roman" w:hAnsi="Times New Roman" w:cs="Times New Roman"/>
        </w:rPr>
        <w:t xml:space="preserve"> and </w:t>
      </w:r>
      <w:proofErr w:type="spellStart"/>
      <w:r w:rsidR="00405080">
        <w:rPr>
          <w:rFonts w:ascii="Times New Roman" w:hAnsi="Times New Roman" w:cs="Times New Roman"/>
        </w:rPr>
        <w:t>Machira</w:t>
      </w:r>
      <w:proofErr w:type="spellEnd"/>
      <w:r w:rsidR="00405080">
        <w:rPr>
          <w:rFonts w:ascii="Times New Roman" w:hAnsi="Times New Roman" w:cs="Times New Roman"/>
        </w:rPr>
        <w:t xml:space="preserve">, 2023). </w:t>
      </w:r>
      <w:r>
        <w:rPr>
          <w:rFonts w:ascii="Times New Roman" w:hAnsi="Times New Roman" w:cs="Times New Roman"/>
        </w:rPr>
        <w:t xml:space="preserve"> </w:t>
      </w:r>
    </w:p>
    <w:p w14:paraId="60C21D88" w14:textId="3F2E3E76" w:rsidR="00405080" w:rsidRDefault="00405080" w:rsidP="00405080">
      <w:pPr>
        <w:spacing w:line="480" w:lineRule="auto"/>
        <w:ind w:firstLine="432"/>
        <w:rPr>
          <w:rFonts w:ascii="Times New Roman" w:hAnsi="Times New Roman" w:cs="Times New Roman"/>
        </w:rPr>
      </w:pPr>
      <w:r>
        <w:rPr>
          <w:rFonts w:ascii="Times New Roman" w:hAnsi="Times New Roman" w:cs="Times New Roman"/>
        </w:rPr>
        <w:t>Psychological factors are based on the idea that individuals adopt innovative technologies when they acknowledge they need to do so (Mellon-</w:t>
      </w:r>
      <w:proofErr w:type="spellStart"/>
      <w:r>
        <w:rPr>
          <w:rFonts w:ascii="Times New Roman" w:hAnsi="Times New Roman" w:cs="Times New Roman"/>
        </w:rPr>
        <w:t>Bedi</w:t>
      </w:r>
      <w:proofErr w:type="spellEnd"/>
      <w:r>
        <w:rPr>
          <w:rFonts w:ascii="Times New Roman" w:hAnsi="Times New Roman" w:cs="Times New Roman"/>
        </w:rPr>
        <w:t xml:space="preserve">, 2020). </w:t>
      </w:r>
      <w:r w:rsidR="00F21D97">
        <w:rPr>
          <w:rFonts w:ascii="Times New Roman" w:hAnsi="Times New Roman" w:cs="Times New Roman"/>
        </w:rPr>
        <w:t>The expected benefits and a desire of sustainable farms driven by environmental concerns motivate households to adopt SAPs (</w:t>
      </w:r>
      <w:proofErr w:type="spellStart"/>
      <w:r w:rsidR="00F21D97">
        <w:rPr>
          <w:rFonts w:ascii="Times New Roman" w:hAnsi="Times New Roman" w:cs="Times New Roman"/>
        </w:rPr>
        <w:t>Akudugu</w:t>
      </w:r>
      <w:proofErr w:type="spellEnd"/>
      <w:r w:rsidR="00F21D97">
        <w:rPr>
          <w:rFonts w:ascii="Times New Roman" w:hAnsi="Times New Roman" w:cs="Times New Roman"/>
        </w:rPr>
        <w:t xml:space="preserve">, 2012). Participation in the farmers’ organizations and considerations over the adoption of neighbor and friends presents the interaction within the community. </w:t>
      </w:r>
      <w:r w:rsidR="00882D10">
        <w:rPr>
          <w:rFonts w:ascii="Times New Roman" w:hAnsi="Times New Roman" w:cs="Times New Roman"/>
        </w:rPr>
        <w:t xml:space="preserve">For example, in </w:t>
      </w:r>
      <w:r w:rsidR="00A8376A">
        <w:rPr>
          <w:rFonts w:ascii="Times New Roman" w:hAnsi="Times New Roman" w:cs="Times New Roman"/>
        </w:rPr>
        <w:t>Malaysia, members</w:t>
      </w:r>
      <w:r w:rsidR="00882D10">
        <w:rPr>
          <w:rFonts w:ascii="Times New Roman" w:hAnsi="Times New Roman" w:cs="Times New Roman"/>
        </w:rPr>
        <w:t xml:space="preserve"> are more likely to adopt cover cropping and integrated pest management </w:t>
      </w:r>
      <w:r w:rsidR="00BC58BE">
        <w:rPr>
          <w:rFonts w:ascii="Times New Roman" w:hAnsi="Times New Roman" w:cs="Times New Roman"/>
        </w:rPr>
        <w:t xml:space="preserve">than non-members </w:t>
      </w:r>
      <w:r w:rsidR="00882D10">
        <w:rPr>
          <w:rFonts w:ascii="Times New Roman" w:hAnsi="Times New Roman" w:cs="Times New Roman"/>
        </w:rPr>
        <w:t>(</w:t>
      </w:r>
      <w:proofErr w:type="spellStart"/>
      <w:r w:rsidR="00882D10">
        <w:rPr>
          <w:rFonts w:ascii="Times New Roman" w:hAnsi="Times New Roman" w:cs="Times New Roman"/>
        </w:rPr>
        <w:t>Tey</w:t>
      </w:r>
      <w:proofErr w:type="spellEnd"/>
      <w:r w:rsidR="00882D10">
        <w:rPr>
          <w:rFonts w:ascii="Times New Roman" w:hAnsi="Times New Roman" w:cs="Times New Roman"/>
        </w:rPr>
        <w:t xml:space="preserve">, 2013). </w:t>
      </w:r>
    </w:p>
    <w:p w14:paraId="54EC17B0" w14:textId="77777777" w:rsidR="00965BC7" w:rsidRPr="00404400" w:rsidRDefault="00965BC7" w:rsidP="00A24727">
      <w:pPr>
        <w:spacing w:line="480" w:lineRule="auto"/>
        <w:rPr>
          <w:rFonts w:ascii="Times New Roman" w:hAnsi="Times New Roman" w:cs="Times New Roman"/>
        </w:rPr>
      </w:pPr>
    </w:p>
    <w:p w14:paraId="2679BC4F" w14:textId="4B38B48E" w:rsidR="00DE7906" w:rsidRDefault="000B16A7" w:rsidP="00A24727">
      <w:pPr>
        <w:spacing w:line="480" w:lineRule="auto"/>
        <w:rPr>
          <w:rFonts w:ascii="Times New Roman" w:hAnsi="Times New Roman" w:cs="Times New Roman"/>
        </w:rPr>
      </w:pPr>
      <w:r w:rsidRPr="00DE7906">
        <w:rPr>
          <w:rFonts w:ascii="Times New Roman" w:hAnsi="Times New Roman" w:cs="Times New Roman"/>
        </w:rPr>
        <w:t>III</w:t>
      </w:r>
      <w:r w:rsidR="00DE7906" w:rsidRPr="00DE7906">
        <w:rPr>
          <w:rFonts w:ascii="Times New Roman" w:hAnsi="Times New Roman" w:cs="Times New Roman"/>
        </w:rPr>
        <w:t xml:space="preserve">. Data and </w:t>
      </w:r>
      <w:r w:rsidR="00DE7906">
        <w:rPr>
          <w:rFonts w:ascii="Times New Roman" w:hAnsi="Times New Roman" w:cs="Times New Roman"/>
        </w:rPr>
        <w:t>econometric</w:t>
      </w:r>
      <w:r w:rsidR="00DE7906" w:rsidRPr="00DE7906">
        <w:rPr>
          <w:rFonts w:ascii="Times New Roman" w:hAnsi="Times New Roman" w:cs="Times New Roman"/>
        </w:rPr>
        <w:t xml:space="preserve"> </w:t>
      </w:r>
      <w:r w:rsidR="00DE7906">
        <w:rPr>
          <w:rFonts w:ascii="Times New Roman" w:hAnsi="Times New Roman" w:cs="Times New Roman"/>
        </w:rPr>
        <w:t>framework</w:t>
      </w:r>
    </w:p>
    <w:p w14:paraId="4017752A" w14:textId="4E41C0F5" w:rsidR="00965BC7" w:rsidRDefault="00A8376A" w:rsidP="00A8376A">
      <w:pPr>
        <w:spacing w:line="480" w:lineRule="auto"/>
        <w:rPr>
          <w:rFonts w:ascii="Times New Roman" w:hAnsi="Times New Roman" w:cs="Times New Roman"/>
        </w:rPr>
      </w:pPr>
      <w:r>
        <w:rPr>
          <w:rFonts w:ascii="Times New Roman" w:hAnsi="Times New Roman" w:cs="Times New Roman"/>
        </w:rPr>
        <w:t xml:space="preserve">3.1. Data source </w:t>
      </w:r>
    </w:p>
    <w:p w14:paraId="1247B328" w14:textId="635167B3" w:rsidR="00A8376A" w:rsidRDefault="00A8376A" w:rsidP="00882D10">
      <w:pPr>
        <w:spacing w:line="480" w:lineRule="auto"/>
        <w:ind w:firstLine="432"/>
        <w:rPr>
          <w:rFonts w:ascii="Times New Roman" w:hAnsi="Times New Roman" w:cs="Times New Roman" w:hint="eastAsia"/>
          <w:lang w:eastAsia="ja-JP"/>
        </w:rPr>
      </w:pPr>
      <w:r>
        <w:rPr>
          <w:rFonts w:ascii="Times New Roman" w:hAnsi="Times New Roman" w:cs="Times New Roman"/>
        </w:rPr>
        <w:t xml:space="preserve">This survey employs dataset obtained from the household survey conducted by International Institute of Tropical Agriculture (IITA) in 2022. The survey was to collect data on the adoption of soil and water conservation technologies in Tanzania. </w:t>
      </w:r>
      <w:r w:rsidR="00CD51DA">
        <w:rPr>
          <w:rFonts w:ascii="Times New Roman" w:hAnsi="Times New Roman" w:cs="Times New Roman"/>
        </w:rPr>
        <w:t xml:space="preserve">The dataset was collected in </w:t>
      </w:r>
      <w:proofErr w:type="spellStart"/>
      <w:r w:rsidR="00CD51DA">
        <w:rPr>
          <w:rFonts w:ascii="Times New Roman" w:hAnsi="Times New Roman" w:cs="Times New Roman"/>
        </w:rPr>
        <w:t>Kongwa</w:t>
      </w:r>
      <w:proofErr w:type="spellEnd"/>
      <w:r w:rsidR="00CD51DA">
        <w:rPr>
          <w:rFonts w:ascii="Times New Roman" w:hAnsi="Times New Roman" w:cs="Times New Roman"/>
        </w:rPr>
        <w:t xml:space="preserve"> and </w:t>
      </w:r>
      <w:proofErr w:type="spellStart"/>
      <w:r w:rsidR="00CD51DA">
        <w:rPr>
          <w:rFonts w:ascii="Times New Roman" w:hAnsi="Times New Roman" w:cs="Times New Roman"/>
        </w:rPr>
        <w:t>Kiteto</w:t>
      </w:r>
      <w:proofErr w:type="spellEnd"/>
      <w:r w:rsidR="00CD51DA">
        <w:rPr>
          <w:rFonts w:ascii="Times New Roman" w:hAnsi="Times New Roman" w:cs="Times New Roman"/>
        </w:rPr>
        <w:t xml:space="preserve">, </w:t>
      </w:r>
      <w:r w:rsidR="006F4618">
        <w:rPr>
          <w:rFonts w:ascii="Times New Roman" w:hAnsi="Times New Roman" w:cs="Times New Roman"/>
        </w:rPr>
        <w:t xml:space="preserve">two representative drought-stricken regions, with a size </w:t>
      </w:r>
      <w:r w:rsidR="00CD51DA">
        <w:rPr>
          <w:rFonts w:ascii="Times New Roman" w:hAnsi="Times New Roman" w:cs="Times New Roman"/>
        </w:rPr>
        <w:t xml:space="preserve">of 580 households and </w:t>
      </w:r>
      <w:r w:rsidR="00CD51DA">
        <w:rPr>
          <w:rFonts w:ascii="Times New Roman" w:hAnsi="Times New Roman" w:cs="Times New Roman"/>
        </w:rPr>
        <w:lastRenderedPageBreak/>
        <w:t xml:space="preserve">contains </w:t>
      </w:r>
      <w:r w:rsidR="00624F01">
        <w:rPr>
          <w:rFonts w:ascii="Times New Roman" w:hAnsi="Times New Roman" w:cs="Times New Roman"/>
        </w:rPr>
        <w:t>detailed</w:t>
      </w:r>
      <w:r w:rsidR="00CD51DA">
        <w:rPr>
          <w:rFonts w:ascii="Times New Roman" w:hAnsi="Times New Roman" w:cs="Times New Roman"/>
        </w:rPr>
        <w:t xml:space="preserve"> information on agricultural households in </w:t>
      </w:r>
      <w:r w:rsidR="006F4618">
        <w:rPr>
          <w:rFonts w:ascii="Times New Roman" w:hAnsi="Times New Roman" w:cs="Times New Roman"/>
        </w:rPr>
        <w:t xml:space="preserve">terms of </w:t>
      </w:r>
      <w:r w:rsidR="00CD51DA">
        <w:rPr>
          <w:rFonts w:ascii="Times New Roman" w:hAnsi="Times New Roman" w:cs="Times New Roman"/>
        </w:rPr>
        <w:t>socio-economic factors, information</w:t>
      </w:r>
      <w:r w:rsidR="00624F01">
        <w:rPr>
          <w:rFonts w:ascii="Times New Roman" w:hAnsi="Times New Roman" w:cs="Times New Roman"/>
        </w:rPr>
        <w:t>al</w:t>
      </w:r>
      <w:r w:rsidR="00CD51DA">
        <w:rPr>
          <w:rFonts w:ascii="Times New Roman" w:hAnsi="Times New Roman" w:cs="Times New Roman"/>
        </w:rPr>
        <w:t xml:space="preserve"> access, and </w:t>
      </w:r>
      <w:r w:rsidR="009F358D">
        <w:rPr>
          <w:rFonts w:ascii="Times New Roman" w:hAnsi="Times New Roman" w:cs="Times New Roman"/>
        </w:rPr>
        <w:t xml:space="preserve">psychological factors. </w:t>
      </w:r>
    </w:p>
    <w:p w14:paraId="54FFDF75" w14:textId="61BCD6D7" w:rsidR="00B2149E" w:rsidRPr="00DE7906" w:rsidRDefault="008023BB" w:rsidP="00B2149E">
      <w:pPr>
        <w:spacing w:line="480" w:lineRule="auto"/>
        <w:ind w:firstLine="432"/>
        <w:rPr>
          <w:rFonts w:ascii="Times New Roman" w:hAnsi="Times New Roman" w:cs="Times New Roman"/>
        </w:rPr>
      </w:pPr>
      <w:r>
        <w:rPr>
          <w:rFonts w:ascii="Times New Roman" w:hAnsi="Times New Roman" w:cs="Times New Roman"/>
        </w:rPr>
        <w:t xml:space="preserve">In this study, we only considered </w:t>
      </w:r>
      <w:r w:rsidR="00423767">
        <w:rPr>
          <w:rFonts w:ascii="Times New Roman" w:hAnsi="Times New Roman" w:cs="Times New Roman"/>
        </w:rPr>
        <w:t xml:space="preserve">sustainable agriculture practices of soil and water conservation, which is effective in semi-arid area. </w:t>
      </w:r>
      <w:r w:rsidR="00423767" w:rsidRPr="00423767">
        <w:rPr>
          <w:rFonts w:ascii="Times New Roman" w:hAnsi="Times New Roman" w:cs="Times New Roman"/>
        </w:rPr>
        <w:t xml:space="preserve">We incorporated </w:t>
      </w:r>
      <w:r w:rsidR="00555D83">
        <w:rPr>
          <w:rFonts w:ascii="Times New Roman" w:hAnsi="Times New Roman" w:cs="Times New Roman"/>
        </w:rPr>
        <w:t>socio-economic, informational, and psychological factors</w:t>
      </w:r>
      <w:r w:rsidR="00423767" w:rsidRPr="00423767">
        <w:rPr>
          <w:rFonts w:ascii="Times New Roman" w:hAnsi="Times New Roman" w:cs="Times New Roman"/>
        </w:rPr>
        <w:t xml:space="preserve"> that may influence the adoption of </w:t>
      </w:r>
      <w:r w:rsidR="00423767">
        <w:rPr>
          <w:rFonts w:ascii="Times New Roman" w:hAnsi="Times New Roman" w:cs="Times New Roman"/>
        </w:rPr>
        <w:t xml:space="preserve">SWC. </w:t>
      </w:r>
      <w:r w:rsidR="00555D83">
        <w:rPr>
          <w:rFonts w:ascii="Times New Roman" w:hAnsi="Times New Roman" w:cs="Times New Roman"/>
        </w:rPr>
        <w:t>Specifically, those factors include age of household head, gender of household, education year</w:t>
      </w:r>
      <w:r w:rsidR="00BD4EE6">
        <w:rPr>
          <w:rFonts w:ascii="Times New Roman" w:hAnsi="Times New Roman" w:cs="Times New Roman"/>
        </w:rPr>
        <w:t>s</w:t>
      </w:r>
      <w:r w:rsidR="00555D83">
        <w:rPr>
          <w:rFonts w:ascii="Times New Roman" w:hAnsi="Times New Roman" w:cs="Times New Roman"/>
        </w:rPr>
        <w:t xml:space="preserve"> of household </w:t>
      </w:r>
      <w:r w:rsidR="00BD4EE6">
        <w:rPr>
          <w:rFonts w:ascii="Times New Roman" w:hAnsi="Times New Roman" w:cs="Times New Roman"/>
        </w:rPr>
        <w:t xml:space="preserve">head, household size, farm size, tropical livestock unit, distance to the main market, credit access, climate information, neighbor adopter, and membership in farmer organization. </w:t>
      </w:r>
    </w:p>
    <w:p w14:paraId="319A4003" w14:textId="3D3E2EBE" w:rsidR="00BD4EE6" w:rsidRDefault="001579EC" w:rsidP="00A24727">
      <w:pPr>
        <w:spacing w:line="480" w:lineRule="auto"/>
        <w:rPr>
          <w:rFonts w:ascii="Times New Roman" w:hAnsi="Times New Roman" w:cs="Times New Roman"/>
        </w:rPr>
      </w:pPr>
      <w:r>
        <w:rPr>
          <w:rFonts w:ascii="Times New Roman" w:hAnsi="Times New Roman" w:cs="Times New Roman"/>
          <w:noProof/>
        </w:rPr>
        <w:drawing>
          <wp:inline distT="0" distB="0" distL="0" distR="0" wp14:anchorId="1594159A" wp14:editId="2FDE7950">
            <wp:extent cx="3274975" cy="3782646"/>
            <wp:effectExtent l="0" t="0" r="1905" b="2540"/>
            <wp:docPr id="1687723265" name="Picture 1"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23265" name="Picture 1" descr="A list of words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3510" cy="3804054"/>
                    </a:xfrm>
                    <a:prstGeom prst="rect">
                      <a:avLst/>
                    </a:prstGeom>
                  </pic:spPr>
                </pic:pic>
              </a:graphicData>
            </a:graphic>
          </wp:inline>
        </w:drawing>
      </w:r>
    </w:p>
    <w:p w14:paraId="00EFF3B2" w14:textId="73EE30EE" w:rsidR="00B2149E" w:rsidRDefault="00B2149E" w:rsidP="00A24727">
      <w:pPr>
        <w:spacing w:line="480" w:lineRule="auto"/>
        <w:rPr>
          <w:rFonts w:ascii="Times New Roman" w:hAnsi="Times New Roman" w:cs="Times New Roman"/>
        </w:rPr>
      </w:pPr>
      <w:r>
        <w:rPr>
          <w:rFonts w:ascii="Times New Roman" w:hAnsi="Times New Roman" w:cs="Times New Roman"/>
        </w:rPr>
        <w:t xml:space="preserve">Table 1. Definition of variables used in the </w:t>
      </w:r>
      <w:r w:rsidR="00576588">
        <w:rPr>
          <w:rFonts w:ascii="Times New Roman" w:hAnsi="Times New Roman" w:cs="Times New Roman"/>
        </w:rPr>
        <w:t>soil and water conservation adoption model.</w:t>
      </w:r>
    </w:p>
    <w:p w14:paraId="6060FE0E" w14:textId="1F63920F" w:rsidR="00576588" w:rsidRDefault="00576588" w:rsidP="00A24727">
      <w:pPr>
        <w:spacing w:line="480" w:lineRule="auto"/>
        <w:rPr>
          <w:rFonts w:ascii="Times New Roman" w:hAnsi="Times New Roman" w:cs="Times New Roman"/>
        </w:rPr>
      </w:pPr>
      <w:r>
        <w:rPr>
          <w:rFonts w:ascii="Times New Roman" w:hAnsi="Times New Roman" w:cs="Times New Roman"/>
        </w:rPr>
        <w:t xml:space="preserve">3.2. Economic framework </w:t>
      </w:r>
    </w:p>
    <w:p w14:paraId="3E265A7B" w14:textId="4D214155" w:rsidR="00BD4EE6" w:rsidRDefault="00553EA1" w:rsidP="00BC1087">
      <w:pPr>
        <w:spacing w:line="480" w:lineRule="auto"/>
        <w:ind w:firstLine="432"/>
        <w:rPr>
          <w:rFonts w:ascii="Times New Roman" w:hAnsi="Times New Roman" w:cs="Times New Roman"/>
        </w:rPr>
      </w:pPr>
      <w:r>
        <w:rPr>
          <w:rFonts w:ascii="Times New Roman" w:hAnsi="Times New Roman" w:cs="Times New Roman"/>
        </w:rPr>
        <w:t xml:space="preserve">We used the logit model to examine the effect of socio-economic, informational, and psychological factors on households’ decisions to adopt SWC. We assumed respondent </w:t>
      </w:r>
      <w:r>
        <w:rPr>
          <w:rFonts w:ascii="Times New Roman" w:hAnsi="Times New Roman" w:cs="Times New Roman"/>
        </w:rPr>
        <w:lastRenderedPageBreak/>
        <w:t xml:space="preserve">households only faced the choice between adopting SWC and not adopting SWC. </w:t>
      </w:r>
      <w:r w:rsidR="00091F01">
        <w:rPr>
          <w:rFonts w:ascii="Times New Roman" w:hAnsi="Times New Roman" w:cs="Times New Roman"/>
        </w:rPr>
        <w:t xml:space="preserve">The use of logit model and assumption of two choices are consistent with several other studies to assess the effects of socio-economic factors on farmers’ decision to adopt sustainable agriculture technologies. The advantage of logit regression over other models is </w:t>
      </w:r>
      <w:r w:rsidR="005E0CB8">
        <w:rPr>
          <w:rFonts w:ascii="Times New Roman" w:hAnsi="Times New Roman" w:cs="Times New Roman"/>
        </w:rPr>
        <w:t>its mathematical simplicity and easier interpretation on the</w:t>
      </w:r>
      <w:r w:rsidR="00036446">
        <w:rPr>
          <w:rFonts w:ascii="Times New Roman" w:hAnsi="Times New Roman" w:cs="Times New Roman"/>
        </w:rPr>
        <w:t xml:space="preserve"> change in the odds ratio of the adoption for one unit change in the </w:t>
      </w:r>
      <w:r w:rsidR="005E0CB8">
        <w:rPr>
          <w:rFonts w:ascii="Times New Roman" w:hAnsi="Times New Roman" w:cs="Times New Roman"/>
        </w:rPr>
        <w:t xml:space="preserve">independent </w:t>
      </w:r>
      <w:r w:rsidR="00036446">
        <w:rPr>
          <w:rFonts w:ascii="Times New Roman" w:hAnsi="Times New Roman" w:cs="Times New Roman"/>
        </w:rPr>
        <w:t xml:space="preserve">factors characterized above. </w:t>
      </w:r>
    </w:p>
    <w:p w14:paraId="603B5D49" w14:textId="2F9F5E81" w:rsidR="00BC1087" w:rsidRPr="005E0CB8" w:rsidRDefault="00BC1087" w:rsidP="00BC1087">
      <w:pPr>
        <w:spacing w:line="480" w:lineRule="auto"/>
        <w:ind w:firstLine="432"/>
        <w:rPr>
          <w:rFonts w:ascii="Times New Roman" w:hAnsi="Times New Roman" w:cs="Times New Roman"/>
          <w:sz w:val="16"/>
          <w:szCs w:val="16"/>
        </w:rPr>
      </w:pPr>
      <m:oMathPara>
        <m:oMath>
          <m:r>
            <w:rPr>
              <w:rFonts w:ascii="Cambria Math" w:hAnsi="Cambria Math" w:cs="Times New Roman"/>
              <w:sz w:val="16"/>
              <w:szCs w:val="16"/>
            </w:rPr>
            <m:t xml:space="preserve">Adopt= </m:t>
          </m:r>
          <m:r>
            <m:rPr>
              <m:sty m:val="p"/>
            </m:rPr>
            <w:rPr>
              <w:rFonts w:ascii="Cambria Math" w:hAnsi="Cambria Math" w:cs="Times New Roman"/>
              <w:sz w:val="16"/>
              <w:szCs w:val="16"/>
            </w:rPr>
            <m:t xml:space="preserve"> </m:t>
          </m:r>
          <m:f>
            <m:fPr>
              <m:ctrlPr>
                <w:rPr>
                  <w:rFonts w:ascii="Cambria Math" w:hAnsi="Cambria Math" w:cs="Times New Roman"/>
                  <w:sz w:val="16"/>
                  <w:szCs w:val="16"/>
                </w:rPr>
              </m:ctrlPr>
            </m:fPr>
            <m:num>
              <m:r>
                <m:rPr>
                  <m:sty m:val="p"/>
                </m:rPr>
                <w:rPr>
                  <w:rFonts w:ascii="Cambria Math" w:hAnsi="Cambria Math" w:cs="Times New Roman"/>
                  <w:sz w:val="16"/>
                  <w:szCs w:val="16"/>
                </w:rPr>
                <m:t>exp⁡</m:t>
              </m:r>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0</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m:t>
                      </m:r>
                    </m:sub>
                  </m:sSub>
                  <m:r>
                    <w:rPr>
                      <w:rFonts w:ascii="Cambria Math" w:hAnsi="Cambria Math" w:cs="Times New Roman"/>
                      <w:sz w:val="16"/>
                      <w:szCs w:val="16"/>
                    </w:rPr>
                    <m:t>x</m:t>
                  </m:r>
                </m:e>
                <m:sub>
                  <m:r>
                    <w:rPr>
                      <w:rFonts w:ascii="Cambria Math" w:hAnsi="Cambria Math" w:cs="Times New Roman"/>
                      <w:sz w:val="16"/>
                      <w:szCs w:val="16"/>
                    </w:rPr>
                    <m:t>age</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2</m:t>
                      </m:r>
                    </m:sub>
                  </m:sSub>
                  <m:r>
                    <w:rPr>
                      <w:rFonts w:ascii="Cambria Math" w:hAnsi="Cambria Math" w:cs="Times New Roman"/>
                      <w:sz w:val="16"/>
                      <w:szCs w:val="16"/>
                    </w:rPr>
                    <m:t>x</m:t>
                  </m:r>
                </m:e>
                <m:sub>
                  <m:r>
                    <w:rPr>
                      <w:rFonts w:ascii="Cambria Math" w:hAnsi="Cambria Math" w:cs="Times New Roman"/>
                      <w:sz w:val="16"/>
                      <w:szCs w:val="16"/>
                    </w:rPr>
                    <m:t>sex</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3</m:t>
                      </m:r>
                    </m:sub>
                  </m:sSub>
                  <m:r>
                    <w:rPr>
                      <w:rFonts w:ascii="Cambria Math" w:hAnsi="Cambria Math" w:cs="Times New Roman"/>
                      <w:sz w:val="16"/>
                      <w:szCs w:val="16"/>
                    </w:rPr>
                    <m:t>x</m:t>
                  </m:r>
                </m:e>
                <m:sub>
                  <m:r>
                    <w:rPr>
                      <w:rFonts w:ascii="Cambria Math" w:hAnsi="Cambria Math" w:cs="Times New Roman"/>
                      <w:sz w:val="16"/>
                      <w:szCs w:val="16"/>
                    </w:rPr>
                    <m:t>educ</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4</m:t>
                      </m:r>
                    </m:sub>
                  </m:sSub>
                  <m:r>
                    <w:rPr>
                      <w:rFonts w:ascii="Cambria Math" w:hAnsi="Cambria Math" w:cs="Times New Roman"/>
                      <w:sz w:val="16"/>
                      <w:szCs w:val="16"/>
                    </w:rPr>
                    <m:t>x</m:t>
                  </m:r>
                </m:e>
                <m:sub>
                  <m:r>
                    <w:rPr>
                      <w:rFonts w:ascii="Cambria Math" w:hAnsi="Cambria Math" w:cs="Times New Roman"/>
                      <w:sz w:val="16"/>
                      <w:szCs w:val="16"/>
                    </w:rPr>
                    <m:t>hh</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5</m:t>
                      </m:r>
                    </m:sub>
                  </m:sSub>
                  <m:r>
                    <w:rPr>
                      <w:rFonts w:ascii="Cambria Math" w:hAnsi="Cambria Math" w:cs="Times New Roman"/>
                      <w:sz w:val="16"/>
                      <w:szCs w:val="16"/>
                    </w:rPr>
                    <m:t>x</m:t>
                  </m:r>
                </m:e>
                <m:sub>
                  <m:r>
                    <w:rPr>
                      <w:rFonts w:ascii="Cambria Math" w:hAnsi="Cambria Math" w:cs="Times New Roman"/>
                      <w:sz w:val="16"/>
                      <w:szCs w:val="16"/>
                    </w:rPr>
                    <m:t>fs</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6</m:t>
                      </m:r>
                    </m:sub>
                  </m:sSub>
                  <m:r>
                    <w:rPr>
                      <w:rFonts w:ascii="Cambria Math" w:hAnsi="Cambria Math" w:cs="Times New Roman"/>
                      <w:sz w:val="16"/>
                      <w:szCs w:val="16"/>
                    </w:rPr>
                    <m:t>x</m:t>
                  </m:r>
                </m:e>
                <m:sub>
                  <m:r>
                    <w:rPr>
                      <w:rFonts w:ascii="Cambria Math" w:hAnsi="Cambria Math" w:cs="Times New Roman"/>
                      <w:sz w:val="16"/>
                      <w:szCs w:val="16"/>
                    </w:rPr>
                    <m:t>tiny</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7</m:t>
                      </m:r>
                    </m:sub>
                  </m:sSub>
                  <m:r>
                    <w:rPr>
                      <w:rFonts w:ascii="Cambria Math" w:hAnsi="Cambria Math" w:cs="Times New Roman"/>
                      <w:sz w:val="16"/>
                      <w:szCs w:val="16"/>
                    </w:rPr>
                    <m:t>x</m:t>
                  </m:r>
                </m:e>
                <m:sub>
                  <m:r>
                    <w:rPr>
                      <w:rFonts w:ascii="Cambria Math" w:hAnsi="Cambria Math" w:cs="Times New Roman"/>
                      <w:sz w:val="16"/>
                      <w:szCs w:val="16"/>
                    </w:rPr>
                    <m:t>tlu</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8</m:t>
                      </m:r>
                    </m:sub>
                  </m:sSub>
                  <m:r>
                    <w:rPr>
                      <w:rFonts w:ascii="Cambria Math" w:hAnsi="Cambria Math" w:cs="Times New Roman"/>
                      <w:sz w:val="16"/>
                      <w:szCs w:val="16"/>
                    </w:rPr>
                    <m:t>x</m:t>
                  </m:r>
                </m:e>
                <m:sub>
                  <m:r>
                    <w:rPr>
                      <w:rFonts w:ascii="Cambria Math" w:hAnsi="Cambria Math" w:cs="Times New Roman"/>
                      <w:sz w:val="16"/>
                      <w:szCs w:val="16"/>
                    </w:rPr>
                    <m:t>dist</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9</m:t>
                      </m:r>
                    </m:sub>
                  </m:sSub>
                  <m:r>
                    <w:rPr>
                      <w:rFonts w:ascii="Cambria Math" w:hAnsi="Cambria Math" w:cs="Times New Roman"/>
                      <w:sz w:val="16"/>
                      <w:szCs w:val="16"/>
                    </w:rPr>
                    <m:t>x</m:t>
                  </m:r>
                </m:e>
                <m:sub>
                  <m:r>
                    <w:rPr>
                      <w:rFonts w:ascii="Cambria Math" w:hAnsi="Cambria Math" w:cs="Times New Roman"/>
                      <w:sz w:val="16"/>
                      <w:szCs w:val="16"/>
                    </w:rPr>
                    <m:t>credit</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10</m:t>
                      </m:r>
                    </m:sub>
                  </m:sSub>
                  <m:r>
                    <w:rPr>
                      <w:rFonts w:ascii="Cambria Math" w:hAnsi="Cambria Math" w:cs="Times New Roman"/>
                      <w:sz w:val="16"/>
                      <w:szCs w:val="16"/>
                    </w:rPr>
                    <m:t>x</m:t>
                  </m:r>
                </m:e>
                <m:sub>
                  <m:r>
                    <w:rPr>
                      <w:rFonts w:ascii="Cambria Math" w:hAnsi="Cambria Math" w:cs="Times New Roman"/>
                      <w:sz w:val="16"/>
                      <w:szCs w:val="16"/>
                    </w:rPr>
                    <m:t>infor</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11</m:t>
                      </m:r>
                    </m:sub>
                  </m:sSub>
                  <m:r>
                    <w:rPr>
                      <w:rFonts w:ascii="Cambria Math" w:hAnsi="Cambria Math" w:cs="Times New Roman"/>
                      <w:sz w:val="16"/>
                      <w:szCs w:val="16"/>
                    </w:rPr>
                    <m:t>x</m:t>
                  </m:r>
                </m:e>
                <m:sub>
                  <m:r>
                    <w:rPr>
                      <w:rFonts w:ascii="Cambria Math" w:hAnsi="Cambria Math" w:cs="Times New Roman"/>
                      <w:sz w:val="16"/>
                      <w:szCs w:val="16"/>
                    </w:rPr>
                    <m:t>neighbor</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12</m:t>
                      </m:r>
                    </m:sub>
                  </m:sSub>
                  <m:r>
                    <w:rPr>
                      <w:rFonts w:ascii="Cambria Math" w:hAnsi="Cambria Math" w:cs="Times New Roman"/>
                      <w:sz w:val="16"/>
                      <w:szCs w:val="16"/>
                    </w:rPr>
                    <m:t>x</m:t>
                  </m:r>
                </m:e>
                <m:sub>
                  <m:r>
                    <w:rPr>
                      <w:rFonts w:ascii="Cambria Math" w:hAnsi="Cambria Math" w:cs="Times New Roman"/>
                      <w:sz w:val="16"/>
                      <w:szCs w:val="16"/>
                    </w:rPr>
                    <m:t>member</m:t>
                  </m:r>
                </m:sub>
              </m:sSub>
            </m:num>
            <m:den>
              <m:r>
                <w:rPr>
                  <w:rFonts w:ascii="Cambria Math" w:hAnsi="Cambria Math" w:cs="Times New Roman"/>
                  <w:sz w:val="16"/>
                  <w:szCs w:val="16"/>
                </w:rPr>
                <m:t>1+</m:t>
              </m:r>
              <m:r>
                <m:rPr>
                  <m:sty m:val="p"/>
                </m:rPr>
                <w:rPr>
                  <w:rFonts w:ascii="Cambria Math" w:hAnsi="Cambria Math" w:cs="Times New Roman"/>
                  <w:sz w:val="16"/>
                  <w:szCs w:val="16"/>
                </w:rPr>
                <m:t>exp⁡</m:t>
              </m:r>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0</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m:t>
                      </m:r>
                    </m:sub>
                  </m:sSub>
                  <m:r>
                    <w:rPr>
                      <w:rFonts w:ascii="Cambria Math" w:hAnsi="Cambria Math" w:cs="Times New Roman"/>
                      <w:sz w:val="16"/>
                      <w:szCs w:val="16"/>
                    </w:rPr>
                    <m:t>x</m:t>
                  </m:r>
                </m:e>
                <m:sub>
                  <m:r>
                    <w:rPr>
                      <w:rFonts w:ascii="Cambria Math" w:hAnsi="Cambria Math" w:cs="Times New Roman"/>
                      <w:sz w:val="16"/>
                      <w:szCs w:val="16"/>
                    </w:rPr>
                    <m:t>age</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2</m:t>
                      </m:r>
                    </m:sub>
                  </m:sSub>
                  <m:r>
                    <w:rPr>
                      <w:rFonts w:ascii="Cambria Math" w:hAnsi="Cambria Math" w:cs="Times New Roman"/>
                      <w:sz w:val="16"/>
                      <w:szCs w:val="16"/>
                    </w:rPr>
                    <m:t>x</m:t>
                  </m:r>
                </m:e>
                <m:sub>
                  <m:r>
                    <w:rPr>
                      <w:rFonts w:ascii="Cambria Math" w:hAnsi="Cambria Math" w:cs="Times New Roman"/>
                      <w:sz w:val="16"/>
                      <w:szCs w:val="16"/>
                    </w:rPr>
                    <m:t>sex</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3</m:t>
                      </m:r>
                    </m:sub>
                  </m:sSub>
                  <m:r>
                    <w:rPr>
                      <w:rFonts w:ascii="Cambria Math" w:hAnsi="Cambria Math" w:cs="Times New Roman"/>
                      <w:sz w:val="16"/>
                      <w:szCs w:val="16"/>
                    </w:rPr>
                    <m:t>x</m:t>
                  </m:r>
                </m:e>
                <m:sub>
                  <m:r>
                    <w:rPr>
                      <w:rFonts w:ascii="Cambria Math" w:hAnsi="Cambria Math" w:cs="Times New Roman"/>
                      <w:sz w:val="16"/>
                      <w:szCs w:val="16"/>
                    </w:rPr>
                    <m:t>educ</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4</m:t>
                      </m:r>
                    </m:sub>
                  </m:sSub>
                  <m:r>
                    <w:rPr>
                      <w:rFonts w:ascii="Cambria Math" w:hAnsi="Cambria Math" w:cs="Times New Roman"/>
                      <w:sz w:val="16"/>
                      <w:szCs w:val="16"/>
                    </w:rPr>
                    <m:t>x</m:t>
                  </m:r>
                </m:e>
                <m:sub>
                  <m:r>
                    <w:rPr>
                      <w:rFonts w:ascii="Cambria Math" w:hAnsi="Cambria Math" w:cs="Times New Roman"/>
                      <w:sz w:val="16"/>
                      <w:szCs w:val="16"/>
                    </w:rPr>
                    <m:t>hh</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5</m:t>
                      </m:r>
                    </m:sub>
                  </m:sSub>
                  <m:r>
                    <w:rPr>
                      <w:rFonts w:ascii="Cambria Math" w:hAnsi="Cambria Math" w:cs="Times New Roman"/>
                      <w:sz w:val="16"/>
                      <w:szCs w:val="16"/>
                    </w:rPr>
                    <m:t>x</m:t>
                  </m:r>
                </m:e>
                <m:sub>
                  <m:r>
                    <w:rPr>
                      <w:rFonts w:ascii="Cambria Math" w:hAnsi="Cambria Math" w:cs="Times New Roman"/>
                      <w:sz w:val="16"/>
                      <w:szCs w:val="16"/>
                    </w:rPr>
                    <m:t>fs</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6</m:t>
                      </m:r>
                    </m:sub>
                  </m:sSub>
                  <m:r>
                    <w:rPr>
                      <w:rFonts w:ascii="Cambria Math" w:hAnsi="Cambria Math" w:cs="Times New Roman"/>
                      <w:sz w:val="16"/>
                      <w:szCs w:val="16"/>
                    </w:rPr>
                    <m:t>x</m:t>
                  </m:r>
                </m:e>
                <m:sub>
                  <m:r>
                    <w:rPr>
                      <w:rFonts w:ascii="Cambria Math" w:hAnsi="Cambria Math" w:cs="Times New Roman"/>
                      <w:sz w:val="16"/>
                      <w:szCs w:val="16"/>
                    </w:rPr>
                    <m:t>tiny</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7</m:t>
                      </m:r>
                    </m:sub>
                  </m:sSub>
                  <m:r>
                    <w:rPr>
                      <w:rFonts w:ascii="Cambria Math" w:hAnsi="Cambria Math" w:cs="Times New Roman"/>
                      <w:sz w:val="16"/>
                      <w:szCs w:val="16"/>
                    </w:rPr>
                    <m:t>x</m:t>
                  </m:r>
                </m:e>
                <m:sub>
                  <m:r>
                    <w:rPr>
                      <w:rFonts w:ascii="Cambria Math" w:hAnsi="Cambria Math" w:cs="Times New Roman"/>
                      <w:sz w:val="16"/>
                      <w:szCs w:val="16"/>
                    </w:rPr>
                    <m:t>tlu</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8</m:t>
                      </m:r>
                    </m:sub>
                  </m:sSub>
                  <m:r>
                    <w:rPr>
                      <w:rFonts w:ascii="Cambria Math" w:hAnsi="Cambria Math" w:cs="Times New Roman"/>
                      <w:sz w:val="16"/>
                      <w:szCs w:val="16"/>
                    </w:rPr>
                    <m:t>x</m:t>
                  </m:r>
                </m:e>
                <m:sub>
                  <m:r>
                    <w:rPr>
                      <w:rFonts w:ascii="Cambria Math" w:hAnsi="Cambria Math" w:cs="Times New Roman"/>
                      <w:sz w:val="16"/>
                      <w:szCs w:val="16"/>
                    </w:rPr>
                    <m:t>dist</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9</m:t>
                      </m:r>
                    </m:sub>
                  </m:sSub>
                  <m:r>
                    <w:rPr>
                      <w:rFonts w:ascii="Cambria Math" w:hAnsi="Cambria Math" w:cs="Times New Roman"/>
                      <w:sz w:val="16"/>
                      <w:szCs w:val="16"/>
                    </w:rPr>
                    <m:t>x</m:t>
                  </m:r>
                </m:e>
                <m:sub>
                  <m:r>
                    <w:rPr>
                      <w:rFonts w:ascii="Cambria Math" w:hAnsi="Cambria Math" w:cs="Times New Roman"/>
                      <w:sz w:val="16"/>
                      <w:szCs w:val="16"/>
                    </w:rPr>
                    <m:t>credit</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10</m:t>
                      </m:r>
                    </m:sub>
                  </m:sSub>
                  <m:r>
                    <w:rPr>
                      <w:rFonts w:ascii="Cambria Math" w:hAnsi="Cambria Math" w:cs="Times New Roman"/>
                      <w:sz w:val="16"/>
                      <w:szCs w:val="16"/>
                    </w:rPr>
                    <m:t>x</m:t>
                  </m:r>
                </m:e>
                <m:sub>
                  <m:r>
                    <w:rPr>
                      <w:rFonts w:ascii="Cambria Math" w:hAnsi="Cambria Math" w:cs="Times New Roman"/>
                      <w:sz w:val="16"/>
                      <w:szCs w:val="16"/>
                    </w:rPr>
                    <m:t>infor</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11</m:t>
                      </m:r>
                    </m:sub>
                  </m:sSub>
                  <m:r>
                    <w:rPr>
                      <w:rFonts w:ascii="Cambria Math" w:hAnsi="Cambria Math" w:cs="Times New Roman"/>
                      <w:sz w:val="16"/>
                      <w:szCs w:val="16"/>
                    </w:rPr>
                    <m:t>x</m:t>
                  </m:r>
                </m:e>
                <m:sub>
                  <m:r>
                    <w:rPr>
                      <w:rFonts w:ascii="Cambria Math" w:hAnsi="Cambria Math" w:cs="Times New Roman"/>
                      <w:sz w:val="16"/>
                      <w:szCs w:val="16"/>
                    </w:rPr>
                    <m:t>neighbor</m:t>
                  </m:r>
                </m:sub>
              </m:sSub>
              <m:r>
                <w:rPr>
                  <w:rFonts w:ascii="Cambria Math" w:hAnsi="Cambria Math" w:cs="Times New Roman"/>
                  <w:sz w:val="16"/>
                  <w:szCs w:val="16"/>
                </w:rPr>
                <m:t>+</m:t>
              </m:r>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12</m:t>
                      </m:r>
                    </m:sub>
                  </m:sSub>
                  <m:r>
                    <w:rPr>
                      <w:rFonts w:ascii="Cambria Math" w:hAnsi="Cambria Math" w:cs="Times New Roman"/>
                      <w:sz w:val="16"/>
                      <w:szCs w:val="16"/>
                    </w:rPr>
                    <m:t>x</m:t>
                  </m:r>
                </m:e>
                <m:sub>
                  <m:r>
                    <w:rPr>
                      <w:rFonts w:ascii="Cambria Math" w:hAnsi="Cambria Math" w:cs="Times New Roman"/>
                      <w:sz w:val="16"/>
                      <w:szCs w:val="16"/>
                    </w:rPr>
                    <m:t>member</m:t>
                  </m:r>
                </m:sub>
              </m:sSub>
            </m:den>
          </m:f>
        </m:oMath>
      </m:oMathPara>
    </w:p>
    <w:p w14:paraId="7A8DF513" w14:textId="77777777" w:rsidR="005E0CB8" w:rsidRDefault="005E0CB8" w:rsidP="00A24727">
      <w:pPr>
        <w:spacing w:line="480" w:lineRule="auto"/>
        <w:rPr>
          <w:rFonts w:ascii="Times New Roman" w:hAnsi="Times New Roman" w:cs="Times New Roman"/>
        </w:rPr>
      </w:pPr>
    </w:p>
    <w:p w14:paraId="6640B6AC" w14:textId="4B1833F4" w:rsidR="00F84DF2" w:rsidRDefault="000B16A7" w:rsidP="00A24727">
      <w:pPr>
        <w:spacing w:line="480" w:lineRule="auto"/>
        <w:rPr>
          <w:rFonts w:ascii="Times New Roman" w:hAnsi="Times New Roman" w:cs="Times New Roman"/>
        </w:rPr>
      </w:pPr>
      <w:r w:rsidRPr="00CF110D">
        <w:rPr>
          <w:rFonts w:ascii="Times New Roman" w:hAnsi="Times New Roman" w:cs="Times New Roman"/>
        </w:rPr>
        <w:t>IV</w:t>
      </w:r>
      <w:r w:rsidR="00F84DF2" w:rsidRPr="00CF110D">
        <w:rPr>
          <w:rFonts w:ascii="Times New Roman" w:hAnsi="Times New Roman" w:cs="Times New Roman"/>
        </w:rPr>
        <w:t>. Results</w:t>
      </w:r>
    </w:p>
    <w:p w14:paraId="1987D034" w14:textId="28DCC0B5" w:rsidR="005E0CB8" w:rsidRDefault="005E0CB8" w:rsidP="005E0CB8">
      <w:pPr>
        <w:spacing w:line="480" w:lineRule="auto"/>
        <w:rPr>
          <w:rFonts w:ascii="Times New Roman" w:hAnsi="Times New Roman" w:cs="Times New Roman"/>
        </w:rPr>
      </w:pPr>
      <w:r>
        <w:rPr>
          <w:rFonts w:ascii="Times New Roman" w:hAnsi="Times New Roman" w:cs="Times New Roman"/>
        </w:rPr>
        <w:t xml:space="preserve">4.1. Socio-economic characteristics of respondent households </w:t>
      </w:r>
    </w:p>
    <w:p w14:paraId="4AA8F5C4" w14:textId="3285CD9E" w:rsidR="00E24187" w:rsidRDefault="005E0CB8" w:rsidP="00D75A86">
      <w:pPr>
        <w:spacing w:line="480" w:lineRule="auto"/>
        <w:ind w:firstLine="432"/>
        <w:rPr>
          <w:rFonts w:ascii="Times New Roman" w:hAnsi="Times New Roman" w:cs="Times New Roman"/>
        </w:rPr>
      </w:pPr>
      <w:r>
        <w:rPr>
          <w:rFonts w:ascii="Times New Roman" w:hAnsi="Times New Roman" w:cs="Times New Roman"/>
        </w:rPr>
        <w:t xml:space="preserve">The study results show that </w:t>
      </w:r>
      <w:proofErr w:type="gramStart"/>
      <w:r w:rsidR="00E24187">
        <w:rPr>
          <w:rFonts w:ascii="Times New Roman" w:hAnsi="Times New Roman" w:cs="Times New Roman"/>
        </w:rPr>
        <w:t>the majority of</w:t>
      </w:r>
      <w:proofErr w:type="gramEnd"/>
      <w:r w:rsidR="00E24187">
        <w:rPr>
          <w:rFonts w:ascii="Times New Roman" w:hAnsi="Times New Roman" w:cs="Times New Roman"/>
        </w:rPr>
        <w:t xml:space="preserve"> household heads age</w:t>
      </w:r>
      <w:r w:rsidR="00624F01">
        <w:rPr>
          <w:rFonts w:ascii="Times New Roman" w:hAnsi="Times New Roman" w:cs="Times New Roman"/>
        </w:rPr>
        <w:t>d</w:t>
      </w:r>
      <w:r w:rsidR="00E24187">
        <w:rPr>
          <w:rFonts w:ascii="Times New Roman" w:hAnsi="Times New Roman" w:cs="Times New Roman"/>
        </w:rPr>
        <w:t xml:space="preserve"> between 40 and 60 years and are assumed to influence the decision-making of households regarding the adoption of SWC</w:t>
      </w:r>
      <w:r w:rsidR="00616F33">
        <w:rPr>
          <w:rFonts w:ascii="Times New Roman" w:hAnsi="Times New Roman" w:cs="Times New Roman"/>
        </w:rPr>
        <w:t xml:space="preserve"> (Appendix 1)</w:t>
      </w:r>
      <w:r w:rsidR="00E24187">
        <w:rPr>
          <w:rFonts w:ascii="Times New Roman" w:hAnsi="Times New Roman" w:cs="Times New Roman"/>
        </w:rPr>
        <w:t xml:space="preserve">. </w:t>
      </w:r>
      <w:r w:rsidR="00D75A86">
        <w:rPr>
          <w:rFonts w:ascii="Times New Roman" w:hAnsi="Times New Roman" w:cs="Times New Roman"/>
        </w:rPr>
        <w:t>This implies that households’</w:t>
      </w:r>
      <w:r w:rsidR="00D75A86" w:rsidRPr="00D75A86">
        <w:rPr>
          <w:rFonts w:ascii="Times New Roman" w:hAnsi="Times New Roman" w:cs="Times New Roman"/>
        </w:rPr>
        <w:t xml:space="preserve"> behaviors in adopting </w:t>
      </w:r>
      <w:r w:rsidR="00D75A86">
        <w:rPr>
          <w:rFonts w:ascii="Times New Roman" w:hAnsi="Times New Roman" w:cs="Times New Roman"/>
        </w:rPr>
        <w:t>SWC</w:t>
      </w:r>
      <w:r w:rsidR="00D75A86" w:rsidRPr="00D75A86">
        <w:rPr>
          <w:rFonts w:ascii="Times New Roman" w:hAnsi="Times New Roman" w:cs="Times New Roman"/>
        </w:rPr>
        <w:t xml:space="preserve"> play a crucial role in enhancing agricultural productivity and the overall well-being of farm households in the district.</w:t>
      </w:r>
      <w:r w:rsidR="00D75A86">
        <w:rPr>
          <w:rFonts w:ascii="Times New Roman" w:hAnsi="Times New Roman" w:cs="Times New Roman"/>
        </w:rPr>
        <w:t xml:space="preserve"> </w:t>
      </w:r>
      <w:r w:rsidR="00E24187">
        <w:rPr>
          <w:rFonts w:ascii="Times New Roman" w:hAnsi="Times New Roman" w:cs="Times New Roman"/>
        </w:rPr>
        <w:t xml:space="preserve">The gender ratio of households is not evenly distributed, with men taking the proportion of 75 percent. </w:t>
      </w:r>
      <w:r w:rsidR="00D75A86">
        <w:rPr>
          <w:rFonts w:ascii="Times New Roman" w:hAnsi="Times New Roman" w:cs="Times New Roman"/>
        </w:rPr>
        <w:t xml:space="preserve">The mean education years is 1.3 with majority of respondents did not receive any </w:t>
      </w:r>
      <w:r w:rsidR="00DA0BC4">
        <w:rPr>
          <w:rFonts w:ascii="Times New Roman" w:hAnsi="Times New Roman" w:cs="Times New Roman" w:hint="eastAsia"/>
          <w:lang w:eastAsia="ja-JP"/>
        </w:rPr>
        <w:t>f</w:t>
      </w:r>
      <w:r w:rsidR="00DA0BC4">
        <w:rPr>
          <w:rFonts w:ascii="Times New Roman" w:hAnsi="Times New Roman" w:cs="Times New Roman"/>
          <w:lang w:eastAsia="ja-JP"/>
        </w:rPr>
        <w:t xml:space="preserve">ormal </w:t>
      </w:r>
      <w:r w:rsidR="00D75A86">
        <w:rPr>
          <w:rFonts w:ascii="Times New Roman" w:hAnsi="Times New Roman" w:cs="Times New Roman"/>
        </w:rPr>
        <w:t xml:space="preserve">education. </w:t>
      </w:r>
      <w:r w:rsidR="00D75A86" w:rsidRPr="00D75A86">
        <w:rPr>
          <w:rFonts w:ascii="Times New Roman" w:hAnsi="Times New Roman" w:cs="Times New Roman"/>
        </w:rPr>
        <w:t xml:space="preserve">The average </w:t>
      </w:r>
      <w:r w:rsidR="00D75A86">
        <w:rPr>
          <w:rFonts w:ascii="Times New Roman" w:hAnsi="Times New Roman" w:cs="Times New Roman"/>
        </w:rPr>
        <w:t>farm size</w:t>
      </w:r>
      <w:r w:rsidR="00D75A86" w:rsidRPr="00D75A86">
        <w:rPr>
          <w:rFonts w:ascii="Times New Roman" w:hAnsi="Times New Roman" w:cs="Times New Roman"/>
        </w:rPr>
        <w:t xml:space="preserve"> is 2.9 hectares, and most households </w:t>
      </w:r>
      <w:r w:rsidR="00D75A86">
        <w:rPr>
          <w:rFonts w:ascii="Times New Roman" w:hAnsi="Times New Roman" w:cs="Times New Roman"/>
        </w:rPr>
        <w:t>own</w:t>
      </w:r>
      <w:r w:rsidR="00D75A86" w:rsidRPr="00D75A86">
        <w:rPr>
          <w:rFonts w:ascii="Times New Roman" w:hAnsi="Times New Roman" w:cs="Times New Roman"/>
        </w:rPr>
        <w:t xml:space="preserve"> land that </w:t>
      </w:r>
      <w:r w:rsidR="00DA0BC4">
        <w:rPr>
          <w:rFonts w:ascii="Times New Roman" w:hAnsi="Times New Roman" w:cs="Times New Roman"/>
        </w:rPr>
        <w:t>is</w:t>
      </w:r>
      <w:r w:rsidR="00D75A86" w:rsidRPr="00D75A86">
        <w:rPr>
          <w:rFonts w:ascii="Times New Roman" w:hAnsi="Times New Roman" w:cs="Times New Roman"/>
        </w:rPr>
        <w:t xml:space="preserve"> so </w:t>
      </w:r>
      <w:r w:rsidR="00D75A86">
        <w:rPr>
          <w:rFonts w:ascii="Times New Roman" w:hAnsi="Times New Roman" w:cs="Times New Roman"/>
        </w:rPr>
        <w:t>tiny</w:t>
      </w:r>
      <w:r w:rsidR="00D75A86" w:rsidRPr="00D75A86">
        <w:rPr>
          <w:rFonts w:ascii="Times New Roman" w:hAnsi="Times New Roman" w:cs="Times New Roman"/>
        </w:rPr>
        <w:t xml:space="preserve"> that </w:t>
      </w:r>
      <w:r w:rsidR="00DA0BC4">
        <w:rPr>
          <w:rFonts w:ascii="Times New Roman" w:hAnsi="Times New Roman" w:cs="Times New Roman"/>
        </w:rPr>
        <w:t>it</w:t>
      </w:r>
      <w:r w:rsidR="00D75A86" w:rsidRPr="00D75A86">
        <w:rPr>
          <w:rFonts w:ascii="Times New Roman" w:hAnsi="Times New Roman" w:cs="Times New Roman"/>
        </w:rPr>
        <w:t xml:space="preserve"> could be considered negligible, equivalent to 0</w:t>
      </w:r>
      <w:r w:rsidR="00D75A86">
        <w:rPr>
          <w:rFonts w:ascii="Times New Roman" w:hAnsi="Times New Roman" w:cs="Times New Roman"/>
        </w:rPr>
        <w:t xml:space="preserve"> in the data</w:t>
      </w:r>
      <w:r w:rsidR="00D75A86" w:rsidRPr="00D75A86">
        <w:rPr>
          <w:rFonts w:ascii="Times New Roman" w:hAnsi="Times New Roman" w:cs="Times New Roman"/>
        </w:rPr>
        <w:t>.</w:t>
      </w:r>
      <w:r w:rsidR="00D75A86">
        <w:rPr>
          <w:rFonts w:ascii="Times New Roman" w:hAnsi="Times New Roman" w:cs="Times New Roman"/>
        </w:rPr>
        <w:t xml:space="preserve"> This means that the findings are used to assess the proportion of the households that are most vulnerable to drought. </w:t>
      </w:r>
    </w:p>
    <w:p w14:paraId="384A90E8" w14:textId="69926EC3" w:rsidR="003A0EB2" w:rsidRDefault="003A0EB2" w:rsidP="003A0EB2">
      <w:pPr>
        <w:spacing w:line="480" w:lineRule="auto"/>
        <w:rPr>
          <w:rFonts w:ascii="Times New Roman" w:hAnsi="Times New Roman" w:cs="Times New Roman"/>
        </w:rPr>
      </w:pPr>
      <w:r>
        <w:rPr>
          <w:rFonts w:ascii="Times New Roman" w:hAnsi="Times New Roman" w:cs="Times New Roman"/>
        </w:rPr>
        <w:t xml:space="preserve">4.2. </w:t>
      </w:r>
      <w:r w:rsidRPr="003A0EB2">
        <w:rPr>
          <w:rFonts w:ascii="Times New Roman" w:hAnsi="Times New Roman" w:cs="Times New Roman"/>
        </w:rPr>
        <w:t xml:space="preserve">Factors Influencing </w:t>
      </w:r>
      <w:r>
        <w:rPr>
          <w:rFonts w:ascii="Times New Roman" w:hAnsi="Times New Roman" w:cs="Times New Roman"/>
        </w:rPr>
        <w:t>Households’ Soil and Water Conservation</w:t>
      </w:r>
      <w:r w:rsidRPr="003A0EB2">
        <w:rPr>
          <w:rFonts w:ascii="Times New Roman" w:hAnsi="Times New Roman" w:cs="Times New Roman"/>
        </w:rPr>
        <w:t xml:space="preserve"> Adoption</w:t>
      </w:r>
    </w:p>
    <w:p w14:paraId="42F9A465" w14:textId="4F29BA7E" w:rsidR="00616F33" w:rsidRDefault="003A0EB2" w:rsidP="00616F33">
      <w:pPr>
        <w:spacing w:line="480" w:lineRule="auto"/>
        <w:ind w:firstLine="432"/>
        <w:rPr>
          <w:rFonts w:ascii="Times New Roman" w:hAnsi="Times New Roman" w:cs="Times New Roman"/>
        </w:rPr>
      </w:pPr>
      <w:r>
        <w:rPr>
          <w:rFonts w:ascii="Times New Roman" w:hAnsi="Times New Roman" w:cs="Times New Roman"/>
        </w:rPr>
        <w:t>The factors influencing households’ SWC technology adoption is grouped into three categories, socio-economic, informational, and psychological factors</w:t>
      </w:r>
      <w:r w:rsidR="00616F33">
        <w:rPr>
          <w:rFonts w:ascii="Times New Roman" w:hAnsi="Times New Roman" w:cs="Times New Roman"/>
        </w:rPr>
        <w:t xml:space="preserve">. </w:t>
      </w:r>
      <w:r w:rsidR="006F4618">
        <w:rPr>
          <w:rFonts w:ascii="Times New Roman" w:hAnsi="Times New Roman" w:cs="Times New Roman"/>
        </w:rPr>
        <w:t>The</w:t>
      </w:r>
      <w:r w:rsidR="00616F33">
        <w:rPr>
          <w:rFonts w:ascii="Times New Roman" w:hAnsi="Times New Roman" w:cs="Times New Roman"/>
        </w:rPr>
        <w:t xml:space="preserve"> log-likelihood ratio </w:t>
      </w:r>
      <w:r w:rsidR="006F4618">
        <w:rPr>
          <w:rFonts w:ascii="Times New Roman" w:hAnsi="Times New Roman" w:cs="Times New Roman"/>
        </w:rPr>
        <w:lastRenderedPageBreak/>
        <w:t xml:space="preserve">test </w:t>
      </w:r>
      <w:r w:rsidR="00616F33">
        <w:rPr>
          <w:rFonts w:ascii="Times New Roman" w:hAnsi="Times New Roman" w:cs="Times New Roman"/>
        </w:rPr>
        <w:t>was found to be significant at the one percent level, which means that the model is jointly significant in impacting households’ probability of adoption of SWCs</w:t>
      </w:r>
      <w:r w:rsidR="005D18DF">
        <w:rPr>
          <w:rFonts w:ascii="Times New Roman" w:hAnsi="Times New Roman" w:cs="Times New Roman"/>
        </w:rPr>
        <w:t xml:space="preserve"> (Appendix 2)</w:t>
      </w:r>
      <w:r w:rsidR="00616F33">
        <w:rPr>
          <w:rFonts w:ascii="Times New Roman" w:hAnsi="Times New Roman" w:cs="Times New Roman"/>
        </w:rPr>
        <w:t>.</w:t>
      </w:r>
      <w:r w:rsidR="005D18DF">
        <w:rPr>
          <w:rFonts w:ascii="Times New Roman" w:hAnsi="Times New Roman" w:cs="Times New Roman"/>
        </w:rPr>
        <w:t xml:space="preserve"> </w:t>
      </w:r>
      <w:r w:rsidR="00616F33">
        <w:rPr>
          <w:rFonts w:ascii="Times New Roman" w:hAnsi="Times New Roman" w:cs="Times New Roman"/>
        </w:rPr>
        <w:t xml:space="preserve"> </w:t>
      </w:r>
    </w:p>
    <w:p w14:paraId="0DF28C10" w14:textId="2CF405D9" w:rsidR="00616F33" w:rsidRDefault="00616F33" w:rsidP="00616F33">
      <w:pPr>
        <w:spacing w:line="480" w:lineRule="auto"/>
        <w:rPr>
          <w:rFonts w:ascii="Times New Roman" w:hAnsi="Times New Roman" w:cs="Times New Roman"/>
        </w:rPr>
      </w:pPr>
      <w:r>
        <w:rPr>
          <w:rFonts w:ascii="Times New Roman" w:hAnsi="Times New Roman" w:cs="Times New Roman"/>
        </w:rPr>
        <w:t xml:space="preserve">4.2.1. Socio-economic factors </w:t>
      </w:r>
    </w:p>
    <w:p w14:paraId="7D48B423" w14:textId="7BAA4CA9" w:rsidR="00616F33" w:rsidRDefault="00BD298C" w:rsidP="00616F33">
      <w:pPr>
        <w:spacing w:line="480" w:lineRule="auto"/>
        <w:ind w:firstLine="432"/>
        <w:rPr>
          <w:rFonts w:ascii="Times New Roman" w:hAnsi="Times New Roman" w:cs="Times New Roman"/>
        </w:rPr>
      </w:pPr>
      <w:r>
        <w:rPr>
          <w:rFonts w:ascii="Times New Roman" w:hAnsi="Times New Roman" w:cs="Times New Roman"/>
        </w:rPr>
        <w:t xml:space="preserve">Gender was found to have a negative relationship </w:t>
      </w:r>
      <w:r w:rsidR="009D3AE7">
        <w:rPr>
          <w:rFonts w:ascii="Times New Roman" w:hAnsi="Times New Roman" w:cs="Times New Roman"/>
        </w:rPr>
        <w:t>with the probability of adoption of SWC and is significant at one percent level</w:t>
      </w:r>
      <w:r w:rsidR="005D18DF">
        <w:rPr>
          <w:rFonts w:ascii="Times New Roman" w:hAnsi="Times New Roman" w:cs="Times New Roman"/>
        </w:rPr>
        <w:t xml:space="preserve">, which means that females are 8 percent more </w:t>
      </w:r>
      <w:r w:rsidR="00C14E38">
        <w:rPr>
          <w:rFonts w:ascii="Times New Roman" w:hAnsi="Times New Roman" w:cs="Times New Roman"/>
        </w:rPr>
        <w:t>probably</w:t>
      </w:r>
      <w:r w:rsidR="005D18DF">
        <w:rPr>
          <w:rFonts w:ascii="Times New Roman" w:hAnsi="Times New Roman" w:cs="Times New Roman"/>
        </w:rPr>
        <w:t xml:space="preserve"> to adopt SWC than males. </w:t>
      </w:r>
      <w:r w:rsidR="009D3AE7">
        <w:rPr>
          <w:rFonts w:ascii="Times New Roman" w:hAnsi="Times New Roman" w:cs="Times New Roman"/>
        </w:rPr>
        <w:t xml:space="preserve">This finding is consistent with literature that female household heads are more likely to adopt some of SAP </w:t>
      </w:r>
      <w:r w:rsidR="00624F01">
        <w:rPr>
          <w:rFonts w:ascii="Times New Roman" w:hAnsi="Times New Roman" w:cs="Times New Roman"/>
        </w:rPr>
        <w:t>techniques but</w:t>
      </w:r>
      <w:r w:rsidR="009D3AE7">
        <w:rPr>
          <w:rFonts w:ascii="Times New Roman" w:hAnsi="Times New Roman" w:cs="Times New Roman"/>
        </w:rPr>
        <w:t xml:space="preserve"> is inconsistent with other literature that finds males are more likely to adopt SAPs (</w:t>
      </w:r>
      <w:proofErr w:type="spellStart"/>
      <w:r w:rsidR="009D3AE7">
        <w:rPr>
          <w:rFonts w:ascii="Times New Roman" w:hAnsi="Times New Roman" w:cs="Times New Roman"/>
        </w:rPr>
        <w:t>Tey</w:t>
      </w:r>
      <w:proofErr w:type="spellEnd"/>
      <w:r w:rsidR="009D3AE7">
        <w:rPr>
          <w:rFonts w:ascii="Times New Roman" w:hAnsi="Times New Roman" w:cs="Times New Roman"/>
        </w:rPr>
        <w:t xml:space="preserve">, 2013; </w:t>
      </w:r>
      <w:proofErr w:type="spellStart"/>
      <w:r w:rsidR="009D3AE7">
        <w:rPr>
          <w:rFonts w:ascii="Times New Roman" w:hAnsi="Times New Roman" w:cs="Times New Roman"/>
        </w:rPr>
        <w:t>Oyetunde-Useman</w:t>
      </w:r>
      <w:proofErr w:type="spellEnd"/>
      <w:r w:rsidR="009D3AE7">
        <w:rPr>
          <w:rFonts w:ascii="Times New Roman" w:hAnsi="Times New Roman" w:cs="Times New Roman"/>
        </w:rPr>
        <w:t xml:space="preserve">, 2021). This implies that </w:t>
      </w:r>
      <w:r w:rsidR="00624F01">
        <w:rPr>
          <w:rFonts w:ascii="Times New Roman" w:hAnsi="Times New Roman" w:cs="Times New Roman"/>
        </w:rPr>
        <w:t xml:space="preserve">the </w:t>
      </w:r>
      <w:r w:rsidR="009D3AE7">
        <w:rPr>
          <w:rFonts w:ascii="Times New Roman" w:hAnsi="Times New Roman" w:cs="Times New Roman"/>
        </w:rPr>
        <w:t xml:space="preserve">gender </w:t>
      </w:r>
      <w:r w:rsidR="00624F01">
        <w:rPr>
          <w:rFonts w:ascii="Times New Roman" w:hAnsi="Times New Roman" w:cs="Times New Roman"/>
        </w:rPr>
        <w:t xml:space="preserve">factor </w:t>
      </w:r>
      <w:r w:rsidR="009D3AE7">
        <w:rPr>
          <w:rFonts w:ascii="Times New Roman" w:hAnsi="Times New Roman" w:cs="Times New Roman"/>
        </w:rPr>
        <w:t xml:space="preserve">of the household head </w:t>
      </w:r>
      <w:r w:rsidR="00624F01">
        <w:rPr>
          <w:rFonts w:ascii="Times New Roman" w:hAnsi="Times New Roman" w:cs="Times New Roman"/>
        </w:rPr>
        <w:t>in influencing</w:t>
      </w:r>
      <w:r w:rsidR="009D3AE7">
        <w:rPr>
          <w:rFonts w:ascii="Times New Roman" w:hAnsi="Times New Roman" w:cs="Times New Roman"/>
        </w:rPr>
        <w:t xml:space="preserve"> adoption of SWC should be practice and location specific</w:t>
      </w:r>
      <w:r w:rsidR="005C5A45">
        <w:rPr>
          <w:rFonts w:ascii="Times New Roman" w:hAnsi="Times New Roman" w:cs="Times New Roman"/>
        </w:rPr>
        <w:t xml:space="preserve">. </w:t>
      </w:r>
    </w:p>
    <w:p w14:paraId="652AFC0E" w14:textId="48458D4F" w:rsidR="005C5A45" w:rsidRDefault="005C5A45" w:rsidP="00616F33">
      <w:pPr>
        <w:spacing w:line="480" w:lineRule="auto"/>
        <w:ind w:firstLine="432"/>
        <w:rPr>
          <w:rFonts w:ascii="Times New Roman" w:hAnsi="Times New Roman" w:cs="Times New Roman"/>
        </w:rPr>
      </w:pPr>
      <w:r>
        <w:rPr>
          <w:rFonts w:ascii="Times New Roman" w:hAnsi="Times New Roman" w:cs="Times New Roman"/>
        </w:rPr>
        <w:t xml:space="preserve">The education level of household head </w:t>
      </w:r>
      <w:r w:rsidR="007A4218">
        <w:rPr>
          <w:rFonts w:ascii="Times New Roman" w:hAnsi="Times New Roman" w:cs="Times New Roman"/>
        </w:rPr>
        <w:t>is</w:t>
      </w:r>
      <w:r>
        <w:rPr>
          <w:rFonts w:ascii="Times New Roman" w:hAnsi="Times New Roman" w:cs="Times New Roman"/>
        </w:rPr>
        <w:t xml:space="preserve"> found to be positive</w:t>
      </w:r>
      <w:r w:rsidR="00DD5245">
        <w:rPr>
          <w:rFonts w:ascii="Times New Roman" w:hAnsi="Times New Roman" w:cs="Times New Roman"/>
        </w:rPr>
        <w:t>ly</w:t>
      </w:r>
      <w:r>
        <w:rPr>
          <w:rFonts w:ascii="Times New Roman" w:hAnsi="Times New Roman" w:cs="Times New Roman"/>
        </w:rPr>
        <w:t xml:space="preserve"> </w:t>
      </w:r>
      <w:r w:rsidR="007A4218">
        <w:rPr>
          <w:rFonts w:ascii="Times New Roman" w:hAnsi="Times New Roman" w:cs="Times New Roman"/>
        </w:rPr>
        <w:t>related to probability of adoption.</w:t>
      </w:r>
      <w:r>
        <w:rPr>
          <w:rFonts w:ascii="Times New Roman" w:hAnsi="Times New Roman" w:cs="Times New Roman"/>
        </w:rPr>
        <w:t xml:space="preserve"> </w:t>
      </w:r>
      <w:r w:rsidR="007A4218">
        <w:rPr>
          <w:rFonts w:ascii="Times New Roman" w:hAnsi="Times New Roman" w:cs="Times New Roman"/>
        </w:rPr>
        <w:t xml:space="preserve">This means that </w:t>
      </w:r>
      <w:r w:rsidR="00DD5245">
        <w:rPr>
          <w:rFonts w:ascii="Times New Roman" w:hAnsi="Times New Roman" w:cs="Times New Roman"/>
        </w:rPr>
        <w:t xml:space="preserve">every </w:t>
      </w:r>
      <w:proofErr w:type="gramStart"/>
      <w:r w:rsidR="00C14E38">
        <w:rPr>
          <w:rFonts w:ascii="Times New Roman" w:hAnsi="Times New Roman" w:cs="Times New Roman"/>
        </w:rPr>
        <w:t>one year</w:t>
      </w:r>
      <w:proofErr w:type="gramEnd"/>
      <w:r w:rsidR="00C14E38">
        <w:rPr>
          <w:rFonts w:ascii="Times New Roman" w:hAnsi="Times New Roman" w:cs="Times New Roman"/>
        </w:rPr>
        <w:t xml:space="preserve"> </w:t>
      </w:r>
      <w:r w:rsidR="00DD5245">
        <w:rPr>
          <w:rFonts w:ascii="Times New Roman" w:hAnsi="Times New Roman" w:cs="Times New Roman"/>
        </w:rPr>
        <w:t>increase in education of household head, the probability of adoption of SWC would increase 0.8 percent.</w:t>
      </w:r>
      <w:r w:rsidR="007A4218">
        <w:rPr>
          <w:rFonts w:ascii="Times New Roman" w:hAnsi="Times New Roman" w:cs="Times New Roman"/>
        </w:rPr>
        <w:t xml:space="preserve"> However, it was found to be insignificant</w:t>
      </w:r>
      <w:r w:rsidR="000B4C44">
        <w:rPr>
          <w:rFonts w:ascii="Times New Roman" w:hAnsi="Times New Roman" w:cs="Times New Roman"/>
        </w:rPr>
        <w:t xml:space="preserve"> at 1 percent level. </w:t>
      </w:r>
      <w:r>
        <w:rPr>
          <w:rFonts w:ascii="Times New Roman" w:hAnsi="Times New Roman" w:cs="Times New Roman"/>
        </w:rPr>
        <w:t>This finding is consistent with majority of literature in determining factors influencing adoption rate of SAP techniques (Mellon-</w:t>
      </w:r>
      <w:proofErr w:type="spellStart"/>
      <w:r>
        <w:rPr>
          <w:rFonts w:ascii="Times New Roman" w:hAnsi="Times New Roman" w:cs="Times New Roman"/>
        </w:rPr>
        <w:t>Bedi</w:t>
      </w:r>
      <w:proofErr w:type="spellEnd"/>
      <w:r>
        <w:rPr>
          <w:rFonts w:ascii="Times New Roman" w:hAnsi="Times New Roman" w:cs="Times New Roman"/>
        </w:rPr>
        <w:t xml:space="preserve">, 2020). However, the finding is inconsistent with </w:t>
      </w:r>
      <w:r w:rsidR="007A4218">
        <w:rPr>
          <w:rFonts w:ascii="Times New Roman" w:hAnsi="Times New Roman" w:cs="Times New Roman"/>
        </w:rPr>
        <w:t>the study in Malawi, which notified the significance of education over the adoption of mulching (</w:t>
      </w:r>
      <w:proofErr w:type="spellStart"/>
      <w:r w:rsidR="007A4218">
        <w:rPr>
          <w:rFonts w:ascii="Times New Roman" w:hAnsi="Times New Roman" w:cs="Times New Roman"/>
        </w:rPr>
        <w:t>Machira</w:t>
      </w:r>
      <w:proofErr w:type="spellEnd"/>
      <w:r w:rsidR="007A4218">
        <w:rPr>
          <w:rFonts w:ascii="Times New Roman" w:hAnsi="Times New Roman" w:cs="Times New Roman"/>
        </w:rPr>
        <w:t xml:space="preserve">, 2023). </w:t>
      </w:r>
    </w:p>
    <w:p w14:paraId="5B0FEE1E" w14:textId="47D168C9" w:rsidR="000B4C44" w:rsidRDefault="000B4C44" w:rsidP="00616F33">
      <w:pPr>
        <w:spacing w:line="480" w:lineRule="auto"/>
        <w:ind w:firstLine="432"/>
        <w:rPr>
          <w:rFonts w:ascii="Times New Roman" w:hAnsi="Times New Roman" w:cs="Times New Roman"/>
        </w:rPr>
      </w:pPr>
      <w:r>
        <w:rPr>
          <w:rFonts w:ascii="Times New Roman" w:hAnsi="Times New Roman" w:cs="Times New Roman"/>
        </w:rPr>
        <w:t>The household size is found to be positively related to probability of adoption but not significant. Larger household size</w:t>
      </w:r>
      <w:r w:rsidR="00C14E38">
        <w:rPr>
          <w:rFonts w:ascii="Times New Roman" w:hAnsi="Times New Roman" w:cs="Times New Roman"/>
        </w:rPr>
        <w:t>s</w:t>
      </w:r>
      <w:r>
        <w:rPr>
          <w:rFonts w:ascii="Times New Roman" w:hAnsi="Times New Roman" w:cs="Times New Roman"/>
        </w:rPr>
        <w:t xml:space="preserve"> reflect more labor the households have, which is important in </w:t>
      </w:r>
      <w:r w:rsidR="00C14E38">
        <w:rPr>
          <w:rFonts w:ascii="Times New Roman" w:hAnsi="Times New Roman" w:cs="Times New Roman"/>
        </w:rPr>
        <w:t xml:space="preserve">the </w:t>
      </w:r>
      <w:r>
        <w:rPr>
          <w:rFonts w:ascii="Times New Roman" w:hAnsi="Times New Roman" w:cs="Times New Roman"/>
        </w:rPr>
        <w:t xml:space="preserve">labor-intensive field of SWC. Though many studies have taken household size into account, little of them marked the significance of household size in predicting adoption probability (Nigeria, 2021). </w:t>
      </w:r>
    </w:p>
    <w:p w14:paraId="3104633E" w14:textId="18F6B493" w:rsidR="00822FDE" w:rsidRDefault="000B4C44" w:rsidP="00822FDE">
      <w:pPr>
        <w:spacing w:line="480" w:lineRule="auto"/>
        <w:ind w:firstLine="432"/>
        <w:rPr>
          <w:rFonts w:ascii="Times New Roman" w:hAnsi="Times New Roman" w:cs="Times New Roman"/>
        </w:rPr>
      </w:pPr>
      <w:r>
        <w:rPr>
          <w:rFonts w:ascii="Times New Roman" w:hAnsi="Times New Roman" w:cs="Times New Roman"/>
        </w:rPr>
        <w:lastRenderedPageBreak/>
        <w:t>Farm size is found to be negatively correlated with probability of adoption</w:t>
      </w:r>
      <w:r w:rsidR="00822FDE">
        <w:rPr>
          <w:rFonts w:ascii="Times New Roman" w:hAnsi="Times New Roman" w:cs="Times New Roman"/>
        </w:rPr>
        <w:t xml:space="preserve"> and is found to be insignificant at 1 percent level</w:t>
      </w:r>
      <w:r>
        <w:rPr>
          <w:rFonts w:ascii="Times New Roman" w:hAnsi="Times New Roman" w:cs="Times New Roman"/>
        </w:rPr>
        <w:t xml:space="preserve">. </w:t>
      </w:r>
      <w:r w:rsidR="00822FDE">
        <w:rPr>
          <w:rFonts w:ascii="Times New Roman" w:hAnsi="Times New Roman" w:cs="Times New Roman"/>
        </w:rPr>
        <w:t xml:space="preserve">This finding is inconsistent with </w:t>
      </w:r>
      <w:r w:rsidR="00822FDE" w:rsidRPr="00822FDE">
        <w:rPr>
          <w:rFonts w:ascii="Times New Roman" w:hAnsi="Times New Roman" w:cs="Times New Roman"/>
        </w:rPr>
        <w:t xml:space="preserve">literature that large scale farmers are more </w:t>
      </w:r>
      <w:r w:rsidR="00822FDE">
        <w:rPr>
          <w:rFonts w:ascii="Times New Roman" w:hAnsi="Times New Roman" w:cs="Times New Roman"/>
        </w:rPr>
        <w:t>likely</w:t>
      </w:r>
      <w:r w:rsidR="00822FDE" w:rsidRPr="00822FDE">
        <w:rPr>
          <w:rFonts w:ascii="Times New Roman" w:hAnsi="Times New Roman" w:cs="Times New Roman"/>
        </w:rPr>
        <w:t xml:space="preserve"> to </w:t>
      </w:r>
      <w:r w:rsidR="00822FDE">
        <w:rPr>
          <w:rFonts w:ascii="Times New Roman" w:hAnsi="Times New Roman" w:cs="Times New Roman"/>
        </w:rPr>
        <w:t>adopt</w:t>
      </w:r>
      <w:r w:rsidR="00822FDE" w:rsidRPr="00822FDE">
        <w:rPr>
          <w:rFonts w:ascii="Times New Roman" w:hAnsi="Times New Roman" w:cs="Times New Roman"/>
        </w:rPr>
        <w:t xml:space="preserve"> </w:t>
      </w:r>
      <w:r w:rsidR="00822FDE">
        <w:rPr>
          <w:rFonts w:ascii="Times New Roman" w:hAnsi="Times New Roman" w:cs="Times New Roman"/>
        </w:rPr>
        <w:t>SAPs</w:t>
      </w:r>
      <w:r w:rsidR="00822FDE" w:rsidRPr="00822FDE">
        <w:rPr>
          <w:rFonts w:ascii="Times New Roman" w:hAnsi="Times New Roman" w:cs="Times New Roman"/>
        </w:rPr>
        <w:t xml:space="preserve"> than small scale farmers</w:t>
      </w:r>
      <w:r w:rsidR="00822FDE">
        <w:rPr>
          <w:rFonts w:ascii="Times New Roman" w:hAnsi="Times New Roman" w:cs="Times New Roman"/>
        </w:rPr>
        <w:t xml:space="preserve"> (</w:t>
      </w:r>
      <w:proofErr w:type="spellStart"/>
      <w:r w:rsidR="00822FDE" w:rsidRPr="00822FDE">
        <w:rPr>
          <w:rFonts w:ascii="Times New Roman" w:hAnsi="Times New Roman" w:cs="Times New Roman"/>
        </w:rPr>
        <w:t>Abara</w:t>
      </w:r>
      <w:proofErr w:type="spellEnd"/>
      <w:r w:rsidR="00822FDE" w:rsidRPr="00822FDE">
        <w:rPr>
          <w:rFonts w:ascii="Times New Roman" w:hAnsi="Times New Roman" w:cs="Times New Roman"/>
        </w:rPr>
        <w:t xml:space="preserve"> and Singh, 1993</w:t>
      </w:r>
      <w:r w:rsidR="00822FDE">
        <w:rPr>
          <w:rFonts w:ascii="Times New Roman" w:hAnsi="Times New Roman" w:cs="Times New Roman"/>
        </w:rPr>
        <w:t xml:space="preserve">; </w:t>
      </w:r>
      <w:proofErr w:type="spellStart"/>
      <w:r w:rsidR="00822FDE" w:rsidRPr="00822FDE">
        <w:rPr>
          <w:rFonts w:ascii="Times New Roman" w:hAnsi="Times New Roman" w:cs="Times New Roman"/>
        </w:rPr>
        <w:t>Kasenge</w:t>
      </w:r>
      <w:proofErr w:type="spellEnd"/>
      <w:r w:rsidR="00822FDE" w:rsidRPr="00822FDE">
        <w:rPr>
          <w:rFonts w:ascii="Times New Roman" w:hAnsi="Times New Roman" w:cs="Times New Roman"/>
        </w:rPr>
        <w:t>, 1998</w:t>
      </w:r>
      <w:r w:rsidR="00822FDE">
        <w:rPr>
          <w:rFonts w:ascii="Times New Roman" w:hAnsi="Times New Roman" w:cs="Times New Roman"/>
        </w:rPr>
        <w:t xml:space="preserve">). </w:t>
      </w:r>
      <w:r w:rsidR="00822FDE" w:rsidRPr="00822FDE">
        <w:rPr>
          <w:rFonts w:ascii="Times New Roman" w:hAnsi="Times New Roman" w:cs="Times New Roman"/>
        </w:rPr>
        <w:t>The reason for the inconsistency might be minimal land owned by a high proportion of households.</w:t>
      </w:r>
      <w:r w:rsidR="00822FDE">
        <w:rPr>
          <w:rFonts w:ascii="Times New Roman" w:hAnsi="Times New Roman" w:cs="Times New Roman"/>
        </w:rPr>
        <w:t xml:space="preserve"> </w:t>
      </w:r>
    </w:p>
    <w:p w14:paraId="26BD5263" w14:textId="76F38B4D" w:rsidR="00822FDE" w:rsidRDefault="00822FDE" w:rsidP="00822FDE">
      <w:pPr>
        <w:spacing w:line="480" w:lineRule="auto"/>
        <w:rPr>
          <w:rFonts w:ascii="Times New Roman" w:hAnsi="Times New Roman" w:cs="Times New Roman"/>
        </w:rPr>
      </w:pPr>
      <w:r>
        <w:rPr>
          <w:rFonts w:ascii="Times New Roman" w:hAnsi="Times New Roman" w:cs="Times New Roman"/>
        </w:rPr>
        <w:t xml:space="preserve">4.2.2. Informational factors </w:t>
      </w:r>
    </w:p>
    <w:p w14:paraId="450A0E2F" w14:textId="097D0F59" w:rsidR="00D75A86" w:rsidRDefault="00822FDE" w:rsidP="00822FDE">
      <w:pPr>
        <w:spacing w:line="480" w:lineRule="auto"/>
        <w:ind w:firstLine="432"/>
        <w:rPr>
          <w:rFonts w:ascii="Times New Roman" w:hAnsi="Times New Roman" w:cs="Times New Roman"/>
        </w:rPr>
      </w:pPr>
      <w:r>
        <w:rPr>
          <w:rFonts w:ascii="Times New Roman" w:hAnsi="Times New Roman" w:cs="Times New Roman"/>
        </w:rPr>
        <w:t xml:space="preserve">The access to climate information is found to </w:t>
      </w:r>
      <w:r w:rsidR="00624F01">
        <w:rPr>
          <w:rFonts w:ascii="Times New Roman" w:hAnsi="Times New Roman" w:cs="Times New Roman"/>
        </w:rPr>
        <w:t xml:space="preserve">be </w:t>
      </w:r>
      <w:r>
        <w:rPr>
          <w:rFonts w:ascii="Times New Roman" w:hAnsi="Times New Roman" w:cs="Times New Roman"/>
        </w:rPr>
        <w:t xml:space="preserve">highly positively related to the probability of adoption at 1 percent significance level. </w:t>
      </w:r>
      <w:r w:rsidR="00DD5245">
        <w:rPr>
          <w:rFonts w:ascii="Times New Roman" w:hAnsi="Times New Roman" w:cs="Times New Roman"/>
        </w:rPr>
        <w:t xml:space="preserve">Households that can get access to climate information are </w:t>
      </w:r>
      <w:r w:rsidR="000442BF">
        <w:rPr>
          <w:rFonts w:ascii="Times New Roman" w:hAnsi="Times New Roman" w:cs="Times New Roman"/>
        </w:rPr>
        <w:t>11</w:t>
      </w:r>
      <w:r w:rsidR="00DD5245">
        <w:rPr>
          <w:rFonts w:ascii="Times New Roman" w:hAnsi="Times New Roman" w:cs="Times New Roman"/>
        </w:rPr>
        <w:t xml:space="preserve"> percent more likely to adopt SWC. </w:t>
      </w:r>
      <w:r w:rsidR="007A67E4">
        <w:rPr>
          <w:rFonts w:ascii="Times New Roman" w:hAnsi="Times New Roman" w:cs="Times New Roman"/>
        </w:rPr>
        <w:t>This is consistent with study’s finding that owing smartphone and radio is highly related to adoption probability (</w:t>
      </w:r>
      <w:proofErr w:type="spellStart"/>
      <w:r w:rsidR="007A67E4">
        <w:rPr>
          <w:rFonts w:ascii="Times New Roman" w:hAnsi="Times New Roman" w:cs="Times New Roman"/>
        </w:rPr>
        <w:t>Mgomezum</w:t>
      </w:r>
      <w:proofErr w:type="spellEnd"/>
      <w:r w:rsidR="007A67E4">
        <w:rPr>
          <w:rFonts w:ascii="Times New Roman" w:hAnsi="Times New Roman" w:cs="Times New Roman"/>
        </w:rPr>
        <w:t>, 2023</w:t>
      </w:r>
      <w:r w:rsidR="00DD5245">
        <w:rPr>
          <w:rFonts w:ascii="Times New Roman" w:hAnsi="Times New Roman" w:cs="Times New Roman"/>
        </w:rPr>
        <w:t>), which</w:t>
      </w:r>
      <w:r w:rsidR="007A67E4">
        <w:rPr>
          <w:rFonts w:ascii="Times New Roman" w:hAnsi="Times New Roman" w:cs="Times New Roman"/>
        </w:rPr>
        <w:t xml:space="preserve"> can be explained by the relationship between owning those devices and getting access to agricultural information </w:t>
      </w:r>
      <w:r w:rsidR="00624F01">
        <w:rPr>
          <w:rFonts w:ascii="Times New Roman" w:hAnsi="Times New Roman" w:cs="Times New Roman"/>
        </w:rPr>
        <w:t xml:space="preserve">so </w:t>
      </w:r>
      <w:r w:rsidR="007A67E4">
        <w:rPr>
          <w:rFonts w:ascii="Times New Roman" w:hAnsi="Times New Roman" w:cs="Times New Roman"/>
        </w:rPr>
        <w:t xml:space="preserve">that households with those devices are more likely to hear from outside. </w:t>
      </w:r>
    </w:p>
    <w:p w14:paraId="70431566" w14:textId="49478E60" w:rsidR="007A67E4" w:rsidRDefault="007A67E4" w:rsidP="007A67E4">
      <w:pPr>
        <w:spacing w:line="480" w:lineRule="auto"/>
        <w:rPr>
          <w:rFonts w:ascii="Times New Roman" w:hAnsi="Times New Roman" w:cs="Times New Roman"/>
        </w:rPr>
      </w:pPr>
      <w:r>
        <w:rPr>
          <w:rFonts w:ascii="Times New Roman" w:hAnsi="Times New Roman" w:cs="Times New Roman"/>
        </w:rPr>
        <w:t xml:space="preserve">4.2.3. Psychological factors </w:t>
      </w:r>
    </w:p>
    <w:p w14:paraId="7C740253" w14:textId="54217E22" w:rsidR="007A67E4" w:rsidRDefault="007A67E4" w:rsidP="00822FDE">
      <w:pPr>
        <w:spacing w:line="480" w:lineRule="auto"/>
        <w:ind w:firstLine="432"/>
        <w:rPr>
          <w:rFonts w:ascii="Times New Roman" w:hAnsi="Times New Roman" w:cs="Times New Roman"/>
        </w:rPr>
      </w:pPr>
      <w:r>
        <w:rPr>
          <w:rFonts w:ascii="Times New Roman" w:hAnsi="Times New Roman" w:cs="Times New Roman"/>
        </w:rPr>
        <w:t xml:space="preserve">Participating in farmers’ organization is positive and significant to adoption of SWC. </w:t>
      </w:r>
      <w:r w:rsidR="00E354D0">
        <w:rPr>
          <w:rFonts w:ascii="Times New Roman" w:hAnsi="Times New Roman" w:cs="Times New Roman"/>
        </w:rPr>
        <w:t>The</w:t>
      </w:r>
      <w:r w:rsidRPr="007A67E4">
        <w:rPr>
          <w:rFonts w:ascii="Times New Roman" w:hAnsi="Times New Roman" w:cs="Times New Roman"/>
        </w:rPr>
        <w:t xml:space="preserve"> positive </w:t>
      </w:r>
      <w:r w:rsidR="00E354D0">
        <w:rPr>
          <w:rFonts w:ascii="Times New Roman" w:hAnsi="Times New Roman" w:cs="Times New Roman"/>
        </w:rPr>
        <w:t>sign</w:t>
      </w:r>
      <w:r w:rsidRPr="007A67E4">
        <w:rPr>
          <w:rFonts w:ascii="Times New Roman" w:hAnsi="Times New Roman" w:cs="Times New Roman"/>
        </w:rPr>
        <w:t xml:space="preserve"> </w:t>
      </w:r>
      <w:r w:rsidR="00E354D0">
        <w:rPr>
          <w:rFonts w:ascii="Times New Roman" w:hAnsi="Times New Roman" w:cs="Times New Roman"/>
        </w:rPr>
        <w:t>suggests</w:t>
      </w:r>
      <w:r w:rsidRPr="007A67E4">
        <w:rPr>
          <w:rFonts w:ascii="Times New Roman" w:hAnsi="Times New Roman" w:cs="Times New Roman"/>
        </w:rPr>
        <w:t xml:space="preserve"> that members of farmers’ </w:t>
      </w:r>
      <w:r w:rsidR="00E354D0">
        <w:rPr>
          <w:rFonts w:ascii="Times New Roman" w:hAnsi="Times New Roman" w:cs="Times New Roman"/>
        </w:rPr>
        <w:t>organizations</w:t>
      </w:r>
      <w:r w:rsidRPr="007A67E4">
        <w:rPr>
          <w:rFonts w:ascii="Times New Roman" w:hAnsi="Times New Roman" w:cs="Times New Roman"/>
        </w:rPr>
        <w:t xml:space="preserve"> have </w:t>
      </w:r>
      <w:r w:rsidR="000442BF">
        <w:rPr>
          <w:rFonts w:ascii="Times New Roman" w:hAnsi="Times New Roman" w:cs="Times New Roman"/>
        </w:rPr>
        <w:t xml:space="preserve">21 percent more likely </w:t>
      </w:r>
      <w:r w:rsidR="00FE3974">
        <w:rPr>
          <w:rFonts w:ascii="Times New Roman" w:hAnsi="Times New Roman" w:cs="Times New Roman"/>
        </w:rPr>
        <w:t xml:space="preserve">to </w:t>
      </w:r>
      <w:r w:rsidR="00FE3974" w:rsidRPr="007A67E4">
        <w:rPr>
          <w:rFonts w:ascii="Times New Roman" w:hAnsi="Times New Roman" w:cs="Times New Roman"/>
        </w:rPr>
        <w:t>become</w:t>
      </w:r>
      <w:r w:rsidRPr="007A67E4">
        <w:rPr>
          <w:rFonts w:ascii="Times New Roman" w:hAnsi="Times New Roman" w:cs="Times New Roman"/>
        </w:rPr>
        <w:t xml:space="preserve"> adopters</w:t>
      </w:r>
      <w:r w:rsidR="000442BF">
        <w:rPr>
          <w:rFonts w:ascii="Times New Roman" w:hAnsi="Times New Roman" w:cs="Times New Roman"/>
        </w:rPr>
        <w:t xml:space="preserve">. </w:t>
      </w:r>
      <w:r w:rsidR="005362F3">
        <w:rPr>
          <w:rFonts w:ascii="Times New Roman" w:hAnsi="Times New Roman" w:cs="Times New Roman"/>
        </w:rPr>
        <w:t>Members in the organization have more access to different information. At the same time, the early adopters play as incentives to other members when the expected benefits with adopting SWC technologies</w:t>
      </w:r>
      <w:r w:rsidR="000442BF">
        <w:rPr>
          <w:rFonts w:ascii="Times New Roman" w:hAnsi="Times New Roman" w:cs="Times New Roman"/>
        </w:rPr>
        <w:t xml:space="preserve"> </w:t>
      </w:r>
      <w:r w:rsidR="00FE3974">
        <w:rPr>
          <w:rFonts w:ascii="Times New Roman" w:hAnsi="Times New Roman" w:cs="Times New Roman"/>
        </w:rPr>
        <w:t xml:space="preserve">are observed by the rest of members </w:t>
      </w:r>
      <w:r w:rsidR="000442BF">
        <w:rPr>
          <w:rFonts w:ascii="Times New Roman" w:hAnsi="Times New Roman" w:cs="Times New Roman"/>
        </w:rPr>
        <w:t>(</w:t>
      </w:r>
      <w:r w:rsidR="000442BF" w:rsidRPr="007A67E4">
        <w:rPr>
          <w:rFonts w:ascii="Times New Roman" w:hAnsi="Times New Roman" w:cs="Times New Roman"/>
        </w:rPr>
        <w:t>Kassie et al.</w:t>
      </w:r>
      <w:r w:rsidR="000442BF">
        <w:rPr>
          <w:rFonts w:ascii="Times New Roman" w:hAnsi="Times New Roman" w:cs="Times New Roman"/>
        </w:rPr>
        <w:t xml:space="preserve">, </w:t>
      </w:r>
      <w:r w:rsidR="000442BF" w:rsidRPr="007A67E4">
        <w:rPr>
          <w:rFonts w:ascii="Times New Roman" w:hAnsi="Times New Roman" w:cs="Times New Roman"/>
        </w:rPr>
        <w:t>2009)</w:t>
      </w:r>
      <w:r w:rsidR="005362F3">
        <w:rPr>
          <w:rFonts w:ascii="Times New Roman" w:hAnsi="Times New Roman" w:cs="Times New Roman"/>
        </w:rPr>
        <w:t xml:space="preserve">.  </w:t>
      </w:r>
    </w:p>
    <w:p w14:paraId="61A6E964" w14:textId="323ED5D1" w:rsidR="005362F3" w:rsidRDefault="005362F3" w:rsidP="00822FDE">
      <w:pPr>
        <w:spacing w:line="480" w:lineRule="auto"/>
        <w:ind w:firstLine="432"/>
        <w:rPr>
          <w:rFonts w:ascii="Times New Roman" w:hAnsi="Times New Roman" w:cs="Times New Roman"/>
        </w:rPr>
      </w:pPr>
      <w:r>
        <w:rPr>
          <w:rFonts w:ascii="Times New Roman" w:hAnsi="Times New Roman" w:cs="Times New Roman"/>
        </w:rPr>
        <w:t>Whether neighbors and friends</w:t>
      </w:r>
      <w:r w:rsidR="00FE3974">
        <w:rPr>
          <w:rFonts w:ascii="Times New Roman" w:hAnsi="Times New Roman" w:cs="Times New Roman"/>
        </w:rPr>
        <w:t xml:space="preserve"> are </w:t>
      </w:r>
      <w:r>
        <w:rPr>
          <w:rFonts w:ascii="Times New Roman" w:hAnsi="Times New Roman" w:cs="Times New Roman"/>
        </w:rPr>
        <w:t xml:space="preserve">adopters </w:t>
      </w:r>
      <w:r w:rsidR="00FE3974">
        <w:rPr>
          <w:rFonts w:ascii="Times New Roman" w:hAnsi="Times New Roman" w:cs="Times New Roman"/>
        </w:rPr>
        <w:t>is</w:t>
      </w:r>
      <w:r>
        <w:rPr>
          <w:rFonts w:ascii="Times New Roman" w:hAnsi="Times New Roman" w:cs="Times New Roman"/>
        </w:rPr>
        <w:t xml:space="preserve"> a relatively new idea in assessing the interaction within the community. It is found to be highly relative with the adopting probability. This means that if neighbors and friends are adopters, households are </w:t>
      </w:r>
      <w:r w:rsidR="000442BF">
        <w:rPr>
          <w:rFonts w:ascii="Times New Roman" w:hAnsi="Times New Roman" w:cs="Times New Roman"/>
        </w:rPr>
        <w:t xml:space="preserve">15.6 percent </w:t>
      </w:r>
      <w:r>
        <w:rPr>
          <w:rFonts w:ascii="Times New Roman" w:hAnsi="Times New Roman" w:cs="Times New Roman"/>
        </w:rPr>
        <w:t xml:space="preserve">more likely to adopt new technologies. </w:t>
      </w:r>
    </w:p>
    <w:p w14:paraId="7CF2504E" w14:textId="77777777" w:rsidR="00822FDE" w:rsidRDefault="00822FDE" w:rsidP="00822FDE">
      <w:pPr>
        <w:spacing w:line="480" w:lineRule="auto"/>
        <w:ind w:firstLine="432"/>
        <w:rPr>
          <w:rFonts w:ascii="Times New Roman" w:hAnsi="Times New Roman" w:cs="Times New Roman"/>
        </w:rPr>
      </w:pPr>
    </w:p>
    <w:p w14:paraId="7A5C29A8" w14:textId="64D18A60" w:rsidR="00036446" w:rsidRDefault="000B16A7" w:rsidP="00A24727">
      <w:pPr>
        <w:spacing w:line="480" w:lineRule="auto"/>
        <w:rPr>
          <w:rFonts w:ascii="Times New Roman" w:hAnsi="Times New Roman" w:cs="Times New Roman"/>
        </w:rPr>
      </w:pPr>
      <w:r w:rsidRPr="00CF110D">
        <w:rPr>
          <w:rFonts w:ascii="Times New Roman" w:hAnsi="Times New Roman" w:cs="Times New Roman"/>
        </w:rPr>
        <w:lastRenderedPageBreak/>
        <w:t>V</w:t>
      </w:r>
      <w:r w:rsidR="00036446">
        <w:rPr>
          <w:rFonts w:ascii="Times New Roman" w:hAnsi="Times New Roman" w:cs="Times New Roman"/>
        </w:rPr>
        <w:t xml:space="preserve">. Conclusion </w:t>
      </w:r>
      <w:r w:rsidR="00822FDE">
        <w:rPr>
          <w:rFonts w:ascii="Times New Roman" w:hAnsi="Times New Roman" w:cs="Times New Roman"/>
        </w:rPr>
        <w:t>and further investigation</w:t>
      </w:r>
    </w:p>
    <w:p w14:paraId="082BD1E0" w14:textId="1BC46A40" w:rsidR="000B4C44" w:rsidRDefault="000B4C44" w:rsidP="000B4C44">
      <w:pPr>
        <w:spacing w:line="480" w:lineRule="auto"/>
        <w:ind w:firstLine="432"/>
        <w:rPr>
          <w:rFonts w:ascii="Times New Roman" w:hAnsi="Times New Roman" w:cs="Times New Roman"/>
        </w:rPr>
      </w:pPr>
      <w:r w:rsidRPr="000B4C44">
        <w:rPr>
          <w:rFonts w:ascii="Times New Roman" w:hAnsi="Times New Roman" w:cs="Times New Roman"/>
        </w:rPr>
        <w:t xml:space="preserve">The factors that influence the adoption of </w:t>
      </w:r>
      <w:r>
        <w:rPr>
          <w:rFonts w:ascii="Times New Roman" w:hAnsi="Times New Roman" w:cs="Times New Roman"/>
        </w:rPr>
        <w:t>soil and water conservation technologies</w:t>
      </w:r>
      <w:r w:rsidRPr="000B4C44">
        <w:rPr>
          <w:rFonts w:ascii="Times New Roman" w:hAnsi="Times New Roman" w:cs="Times New Roman"/>
        </w:rPr>
        <w:t xml:space="preserve"> are broadly </w:t>
      </w:r>
      <w:r>
        <w:rPr>
          <w:rFonts w:ascii="Times New Roman" w:hAnsi="Times New Roman" w:cs="Times New Roman"/>
        </w:rPr>
        <w:t>categorized</w:t>
      </w:r>
      <w:r w:rsidRPr="000B4C44">
        <w:rPr>
          <w:rFonts w:ascii="Times New Roman" w:hAnsi="Times New Roman" w:cs="Times New Roman"/>
        </w:rPr>
        <w:t xml:space="preserve"> into </w:t>
      </w:r>
      <w:r>
        <w:rPr>
          <w:rFonts w:ascii="Times New Roman" w:hAnsi="Times New Roman" w:cs="Times New Roman"/>
        </w:rPr>
        <w:t>socio-</w:t>
      </w:r>
      <w:r w:rsidRPr="000B4C44">
        <w:rPr>
          <w:rFonts w:ascii="Times New Roman" w:hAnsi="Times New Roman" w:cs="Times New Roman"/>
        </w:rPr>
        <w:t xml:space="preserve">economic factors, </w:t>
      </w:r>
      <w:r>
        <w:rPr>
          <w:rFonts w:ascii="Times New Roman" w:hAnsi="Times New Roman" w:cs="Times New Roman"/>
        </w:rPr>
        <w:t xml:space="preserve">informational factors, </w:t>
      </w:r>
      <w:r w:rsidRPr="000B4C44">
        <w:rPr>
          <w:rFonts w:ascii="Times New Roman" w:hAnsi="Times New Roman" w:cs="Times New Roman"/>
        </w:rPr>
        <w:t>and</w:t>
      </w:r>
      <w:r>
        <w:rPr>
          <w:rFonts w:ascii="Times New Roman" w:hAnsi="Times New Roman" w:cs="Times New Roman"/>
        </w:rPr>
        <w:t xml:space="preserve"> psychological factors</w:t>
      </w:r>
      <w:r w:rsidRPr="000B4C44">
        <w:rPr>
          <w:rFonts w:ascii="Times New Roman" w:hAnsi="Times New Roman" w:cs="Times New Roman"/>
        </w:rPr>
        <w:t>.</w:t>
      </w:r>
      <w:r>
        <w:rPr>
          <w:rFonts w:ascii="Times New Roman" w:hAnsi="Times New Roman" w:cs="Times New Roman"/>
        </w:rPr>
        <w:t xml:space="preserve"> The socio-economic factors include age, gender, education level of the household head, household size, farm size, livestock ownership, distance to main market, and whether access to credit. The informational factors include all climate information, agricultural new from any kind of sources. </w:t>
      </w:r>
      <w:r w:rsidR="00822FDE">
        <w:rPr>
          <w:rFonts w:ascii="Times New Roman" w:hAnsi="Times New Roman" w:cs="Times New Roman"/>
        </w:rPr>
        <w:t xml:space="preserve">The psychological factors include participation in farmer organization, and whether neighbors and friends are adopted or not. Only gender in socio-economic factors is found to be significant and have a positive relationship with adoption probability. Informational factors and psychological factors are found to be </w:t>
      </w:r>
      <w:r w:rsidR="002E18D9">
        <w:rPr>
          <w:rFonts w:ascii="Times New Roman" w:hAnsi="Times New Roman" w:cs="Times New Roman"/>
        </w:rPr>
        <w:t xml:space="preserve">highly correlated with adoption probability. </w:t>
      </w:r>
    </w:p>
    <w:p w14:paraId="2B96551E" w14:textId="544B39D4" w:rsidR="002E18D9" w:rsidRDefault="002E18D9" w:rsidP="000B4C44">
      <w:pPr>
        <w:spacing w:line="480" w:lineRule="auto"/>
        <w:ind w:firstLine="432"/>
        <w:rPr>
          <w:rFonts w:ascii="Times New Roman" w:hAnsi="Times New Roman" w:cs="Times New Roman"/>
        </w:rPr>
      </w:pPr>
      <w:r>
        <w:rPr>
          <w:rFonts w:ascii="Times New Roman" w:hAnsi="Times New Roman" w:cs="Times New Roman"/>
        </w:rPr>
        <w:t xml:space="preserve">For further investigation, the data over farm size can be improved as a </w:t>
      </w:r>
      <w:proofErr w:type="gramStart"/>
      <w:r>
        <w:rPr>
          <w:rFonts w:ascii="Times New Roman" w:hAnsi="Times New Roman" w:cs="Times New Roman"/>
        </w:rPr>
        <w:t>really high</w:t>
      </w:r>
      <w:proofErr w:type="gramEnd"/>
      <w:r>
        <w:rPr>
          <w:rFonts w:ascii="Times New Roman" w:hAnsi="Times New Roman" w:cs="Times New Roman"/>
        </w:rPr>
        <w:t xml:space="preserve"> percent of people </w:t>
      </w:r>
      <w:r w:rsidR="00C01813">
        <w:rPr>
          <w:rFonts w:ascii="Times New Roman" w:hAnsi="Times New Roman" w:cs="Times New Roman"/>
        </w:rPr>
        <w:t>have</w:t>
      </w:r>
      <w:r>
        <w:rPr>
          <w:rFonts w:ascii="Times New Roman" w:hAnsi="Times New Roman" w:cs="Times New Roman"/>
        </w:rPr>
        <w:t xml:space="preserve"> minimal land that can be negligible. </w:t>
      </w:r>
      <w:r w:rsidR="00FE3974">
        <w:rPr>
          <w:rFonts w:ascii="Times New Roman" w:hAnsi="Times New Roman" w:cs="Times New Roman"/>
        </w:rPr>
        <w:t xml:space="preserve">In this case, the analysis of the influence of farm size towards the adoption probability of SWC can be only based on household size with minimal land ownership. </w:t>
      </w:r>
    </w:p>
    <w:p w14:paraId="5367F370" w14:textId="479F579C" w:rsidR="000B4C44" w:rsidRDefault="000B4C44" w:rsidP="00A24727">
      <w:pPr>
        <w:spacing w:line="480" w:lineRule="auto"/>
        <w:rPr>
          <w:rFonts w:ascii="Times New Roman" w:hAnsi="Times New Roman" w:cs="Times New Roman"/>
        </w:rPr>
      </w:pPr>
    </w:p>
    <w:p w14:paraId="579C387D" w14:textId="73A31BA1" w:rsidR="00A24727" w:rsidRPr="002E18D9" w:rsidRDefault="000B16A7" w:rsidP="002E18D9">
      <w:pPr>
        <w:spacing w:line="480" w:lineRule="auto"/>
        <w:rPr>
          <w:rFonts w:ascii="Times New Roman" w:hAnsi="Times New Roman" w:cs="Times New Roman"/>
        </w:rPr>
      </w:pPr>
      <w:r w:rsidRPr="002E18D9">
        <w:rPr>
          <w:rFonts w:ascii="Times New Roman" w:hAnsi="Times New Roman" w:cs="Times New Roman"/>
        </w:rPr>
        <w:t>VI</w:t>
      </w:r>
      <w:r w:rsidR="00036446" w:rsidRPr="002E18D9">
        <w:rPr>
          <w:rFonts w:ascii="Times New Roman" w:hAnsi="Times New Roman" w:cs="Times New Roman"/>
        </w:rPr>
        <w:t xml:space="preserve">. Bibliography </w:t>
      </w:r>
    </w:p>
    <w:p w14:paraId="02054FF2" w14:textId="77777777" w:rsidR="002E18D9" w:rsidRPr="002E18D9" w:rsidRDefault="002E18D9" w:rsidP="002E18D9">
      <w:pPr>
        <w:pStyle w:val="NormalWeb"/>
        <w:numPr>
          <w:ilvl w:val="0"/>
          <w:numId w:val="4"/>
        </w:numPr>
        <w:spacing w:before="0" w:beforeAutospacing="0" w:after="0" w:afterAutospacing="0" w:line="480" w:lineRule="auto"/>
        <w:textAlignment w:val="baseline"/>
        <w:rPr>
          <w:color w:val="000000"/>
        </w:rPr>
      </w:pPr>
      <w:proofErr w:type="spellStart"/>
      <w:r w:rsidRPr="002E18D9">
        <w:rPr>
          <w:color w:val="000000"/>
        </w:rPr>
        <w:t>Akudugu</w:t>
      </w:r>
      <w:proofErr w:type="spellEnd"/>
      <w:r w:rsidRPr="002E18D9">
        <w:rPr>
          <w:color w:val="000000"/>
        </w:rPr>
        <w:t xml:space="preserve">, </w:t>
      </w:r>
      <w:proofErr w:type="spellStart"/>
      <w:r w:rsidRPr="002E18D9">
        <w:rPr>
          <w:color w:val="000000"/>
        </w:rPr>
        <w:t>Mamudu</w:t>
      </w:r>
      <w:proofErr w:type="spellEnd"/>
      <w:r w:rsidRPr="002E18D9">
        <w:rPr>
          <w:color w:val="000000"/>
        </w:rPr>
        <w:t xml:space="preserve"> </w:t>
      </w:r>
      <w:proofErr w:type="spellStart"/>
      <w:r w:rsidRPr="002E18D9">
        <w:rPr>
          <w:color w:val="000000"/>
        </w:rPr>
        <w:t>Abunga</w:t>
      </w:r>
      <w:proofErr w:type="spellEnd"/>
      <w:r w:rsidRPr="002E18D9">
        <w:rPr>
          <w:color w:val="000000"/>
        </w:rPr>
        <w:t xml:space="preserve">, Emelia Guo, and Samuel Kwesi </w:t>
      </w:r>
      <w:proofErr w:type="spellStart"/>
      <w:r w:rsidRPr="002E18D9">
        <w:rPr>
          <w:color w:val="000000"/>
        </w:rPr>
        <w:t>Ndzebah</w:t>
      </w:r>
      <w:proofErr w:type="spellEnd"/>
      <w:r w:rsidRPr="002E18D9">
        <w:rPr>
          <w:color w:val="000000"/>
        </w:rPr>
        <w:t xml:space="preserve"> </w:t>
      </w:r>
      <w:proofErr w:type="spellStart"/>
      <w:r w:rsidRPr="002E18D9">
        <w:rPr>
          <w:color w:val="000000"/>
        </w:rPr>
        <w:t>Dadzie</w:t>
      </w:r>
      <w:proofErr w:type="spellEnd"/>
      <w:r w:rsidRPr="002E18D9">
        <w:rPr>
          <w:color w:val="000000"/>
        </w:rPr>
        <w:t xml:space="preserve">. 2012. “Adoption of Modern Agricultural Production Technologies by Farm Households in Ghana: What Factors Influence Their Decisions?” Journal of Biology, Agriculture and Healthcare 2 (3): 0. </w:t>
      </w:r>
      <w:hyperlink r:id="rId7" w:history="1">
        <w:r w:rsidRPr="002E18D9">
          <w:rPr>
            <w:rStyle w:val="Hyperlink"/>
            <w:color w:val="1155CC"/>
          </w:rPr>
          <w:t>https://www.iiste.org/Journals/index.php/JBAH/article/download/1522/1454</w:t>
        </w:r>
      </w:hyperlink>
      <w:r w:rsidRPr="002E18D9">
        <w:rPr>
          <w:color w:val="000000"/>
        </w:rPr>
        <w:t>.</w:t>
      </w:r>
    </w:p>
    <w:p w14:paraId="20D8A752" w14:textId="77777777" w:rsidR="002E18D9" w:rsidRPr="002E18D9" w:rsidRDefault="002E18D9" w:rsidP="002E18D9">
      <w:pPr>
        <w:pStyle w:val="NormalWeb"/>
        <w:numPr>
          <w:ilvl w:val="0"/>
          <w:numId w:val="4"/>
        </w:numPr>
        <w:spacing w:before="0" w:beforeAutospacing="0" w:after="0" w:afterAutospacing="0" w:line="480" w:lineRule="auto"/>
        <w:textAlignment w:val="baseline"/>
        <w:rPr>
          <w:color w:val="000000"/>
        </w:rPr>
      </w:pPr>
      <w:r w:rsidRPr="002E18D9">
        <w:rPr>
          <w:color w:val="000000"/>
        </w:rPr>
        <w:lastRenderedPageBreak/>
        <w:t xml:space="preserve">D’Souza, Gerard E., Douglas Cyphers, and Tim T. Phipps. 1993. “Factors Affecting the Adoption of Sustainable Agricultural Practices.” Agricultural and Resource Economics Review 22 (2): 159–65. </w:t>
      </w:r>
      <w:hyperlink r:id="rId8" w:history="1">
        <w:r w:rsidRPr="002E18D9">
          <w:rPr>
            <w:rStyle w:val="Hyperlink"/>
            <w:color w:val="1155CC"/>
          </w:rPr>
          <w:t>https://doi.org/10.1017/s1068280500004743</w:t>
        </w:r>
      </w:hyperlink>
      <w:r w:rsidRPr="002E18D9">
        <w:rPr>
          <w:color w:val="000000"/>
        </w:rPr>
        <w:t>.</w:t>
      </w:r>
    </w:p>
    <w:p w14:paraId="3297B54E" w14:textId="77777777" w:rsidR="002E18D9" w:rsidRPr="002E18D9" w:rsidRDefault="002E18D9" w:rsidP="002E18D9">
      <w:pPr>
        <w:pStyle w:val="NormalWeb"/>
        <w:numPr>
          <w:ilvl w:val="0"/>
          <w:numId w:val="4"/>
        </w:numPr>
        <w:spacing w:before="0" w:beforeAutospacing="0" w:after="0" w:afterAutospacing="0" w:line="480" w:lineRule="auto"/>
        <w:textAlignment w:val="baseline"/>
        <w:rPr>
          <w:color w:val="000000"/>
        </w:rPr>
      </w:pPr>
      <w:r w:rsidRPr="002E18D9">
        <w:rPr>
          <w:color w:val="000000"/>
          <w:lang w:val="de-DE"/>
        </w:rPr>
        <w:t xml:space="preserve">Mellon-Bedi, S., </w:t>
      </w:r>
      <w:proofErr w:type="spellStart"/>
      <w:r w:rsidRPr="002E18D9">
        <w:rPr>
          <w:color w:val="000000"/>
          <w:lang w:val="de-DE"/>
        </w:rPr>
        <w:t>Katrien</w:t>
      </w:r>
      <w:proofErr w:type="spellEnd"/>
      <w:r w:rsidRPr="002E18D9">
        <w:rPr>
          <w:color w:val="000000"/>
          <w:lang w:val="de-DE"/>
        </w:rPr>
        <w:t xml:space="preserve"> </w:t>
      </w:r>
      <w:proofErr w:type="spellStart"/>
      <w:r w:rsidRPr="002E18D9">
        <w:rPr>
          <w:color w:val="000000"/>
          <w:lang w:val="de-DE"/>
        </w:rPr>
        <w:t>Descheemaeker</w:t>
      </w:r>
      <w:proofErr w:type="spellEnd"/>
      <w:r w:rsidRPr="002E18D9">
        <w:rPr>
          <w:color w:val="000000"/>
          <w:lang w:val="de-DE"/>
        </w:rPr>
        <w:t xml:space="preserve">, Bekele </w:t>
      </w:r>
      <w:proofErr w:type="spellStart"/>
      <w:r w:rsidRPr="002E18D9">
        <w:rPr>
          <w:color w:val="000000"/>
          <w:lang w:val="de-DE"/>
        </w:rPr>
        <w:t>Hundie</w:t>
      </w:r>
      <w:proofErr w:type="spellEnd"/>
      <w:r w:rsidRPr="002E18D9">
        <w:rPr>
          <w:color w:val="000000"/>
          <w:lang w:val="de-DE"/>
        </w:rPr>
        <w:t xml:space="preserve"> </w:t>
      </w:r>
      <w:proofErr w:type="spellStart"/>
      <w:r w:rsidRPr="002E18D9">
        <w:rPr>
          <w:color w:val="000000"/>
          <w:lang w:val="de-DE"/>
        </w:rPr>
        <w:t>Kotu</w:t>
      </w:r>
      <w:proofErr w:type="spellEnd"/>
      <w:r w:rsidRPr="002E18D9">
        <w:rPr>
          <w:color w:val="000000"/>
          <w:lang w:val="de-DE"/>
        </w:rPr>
        <w:t xml:space="preserve">, Stephen </w:t>
      </w:r>
      <w:proofErr w:type="spellStart"/>
      <w:r w:rsidRPr="002E18D9">
        <w:rPr>
          <w:color w:val="000000"/>
          <w:lang w:val="de-DE"/>
        </w:rPr>
        <w:t>Frimpong</w:t>
      </w:r>
      <w:proofErr w:type="spellEnd"/>
      <w:r w:rsidRPr="002E18D9">
        <w:rPr>
          <w:color w:val="000000"/>
          <w:lang w:val="de-DE"/>
        </w:rPr>
        <w:t xml:space="preserve">, and J.C.J. Groot. </w:t>
      </w:r>
      <w:r w:rsidRPr="002E18D9">
        <w:rPr>
          <w:color w:val="000000"/>
        </w:rPr>
        <w:t xml:space="preserve">2020. “Motivational Factors Influencing Farming Practices in Northern Ghana.” NJAS Wageningen Journal of Life Sciences 92 (1): 1–13. </w:t>
      </w:r>
      <w:hyperlink r:id="rId9" w:history="1">
        <w:r w:rsidRPr="002E18D9">
          <w:rPr>
            <w:rStyle w:val="Hyperlink"/>
            <w:color w:val="1155CC"/>
          </w:rPr>
          <w:t>https://doi.org/10.1016/j.njas.2020.100326</w:t>
        </w:r>
      </w:hyperlink>
      <w:r w:rsidRPr="002E18D9">
        <w:rPr>
          <w:color w:val="000000"/>
        </w:rPr>
        <w:t>.</w:t>
      </w:r>
    </w:p>
    <w:p w14:paraId="01134AE1" w14:textId="77777777" w:rsidR="002E18D9" w:rsidRPr="002E18D9" w:rsidRDefault="002E18D9" w:rsidP="002E18D9">
      <w:pPr>
        <w:pStyle w:val="NormalWeb"/>
        <w:numPr>
          <w:ilvl w:val="0"/>
          <w:numId w:val="4"/>
        </w:numPr>
        <w:spacing w:before="0" w:beforeAutospacing="0" w:after="0" w:afterAutospacing="0" w:line="480" w:lineRule="auto"/>
        <w:textAlignment w:val="baseline"/>
        <w:rPr>
          <w:color w:val="000000"/>
        </w:rPr>
      </w:pPr>
      <w:proofErr w:type="spellStart"/>
      <w:r w:rsidRPr="002E18D9">
        <w:rPr>
          <w:color w:val="000000"/>
        </w:rPr>
        <w:t>Mgomezulu</w:t>
      </w:r>
      <w:proofErr w:type="spellEnd"/>
      <w:r w:rsidRPr="002E18D9">
        <w:rPr>
          <w:color w:val="000000"/>
        </w:rPr>
        <w:t xml:space="preserve">, Wisdom Richard, Kennedy </w:t>
      </w:r>
      <w:proofErr w:type="spellStart"/>
      <w:r w:rsidRPr="002E18D9">
        <w:rPr>
          <w:color w:val="000000"/>
        </w:rPr>
        <w:t>Machira</w:t>
      </w:r>
      <w:proofErr w:type="spellEnd"/>
      <w:r w:rsidRPr="002E18D9">
        <w:rPr>
          <w:color w:val="000000"/>
        </w:rPr>
        <w:t xml:space="preserve">, Abdi-Khalil </w:t>
      </w:r>
      <w:proofErr w:type="spellStart"/>
      <w:r w:rsidRPr="002E18D9">
        <w:rPr>
          <w:color w:val="000000"/>
        </w:rPr>
        <w:t>Edriss</w:t>
      </w:r>
      <w:proofErr w:type="spellEnd"/>
      <w:r w:rsidRPr="002E18D9">
        <w:rPr>
          <w:color w:val="000000"/>
        </w:rPr>
        <w:t xml:space="preserve">, and Innocent </w:t>
      </w:r>
      <w:proofErr w:type="spellStart"/>
      <w:r w:rsidRPr="002E18D9">
        <w:rPr>
          <w:color w:val="000000"/>
        </w:rPr>
        <w:t>Pangapanga</w:t>
      </w:r>
      <w:proofErr w:type="spellEnd"/>
      <w:r w:rsidRPr="002E18D9">
        <w:rPr>
          <w:color w:val="000000"/>
        </w:rPr>
        <w:t xml:space="preserve">-Phiri. 2023. “Modelling Farmers’ Adoption Decisions of Sustainable Agricultural Practices under Varying </w:t>
      </w:r>
      <w:proofErr w:type="spellStart"/>
      <w:r w:rsidRPr="002E18D9">
        <w:rPr>
          <w:color w:val="000000"/>
        </w:rPr>
        <w:t>Agro</w:t>
      </w:r>
      <w:proofErr w:type="spellEnd"/>
      <w:r w:rsidRPr="002E18D9">
        <w:rPr>
          <w:color w:val="000000"/>
        </w:rPr>
        <w:t xml:space="preserve">-Ecological Conditions: A New Perspective.” Innovation and Green Development 2 (1): 100036. </w:t>
      </w:r>
      <w:hyperlink r:id="rId10" w:history="1">
        <w:r w:rsidRPr="002E18D9">
          <w:rPr>
            <w:rStyle w:val="Hyperlink"/>
            <w:color w:val="1155CC"/>
          </w:rPr>
          <w:t>https://doi.org/10.1016/j.igd.2023.100036</w:t>
        </w:r>
      </w:hyperlink>
      <w:r w:rsidRPr="002E18D9">
        <w:rPr>
          <w:color w:val="000000"/>
        </w:rPr>
        <w:t>.</w:t>
      </w:r>
    </w:p>
    <w:p w14:paraId="5C2C4F89" w14:textId="77777777" w:rsidR="002E18D9" w:rsidRPr="002E18D9" w:rsidRDefault="002E18D9" w:rsidP="002E18D9">
      <w:pPr>
        <w:pStyle w:val="NormalWeb"/>
        <w:numPr>
          <w:ilvl w:val="0"/>
          <w:numId w:val="4"/>
        </w:numPr>
        <w:spacing w:before="0" w:beforeAutospacing="0" w:after="0" w:afterAutospacing="0" w:line="480" w:lineRule="auto"/>
        <w:textAlignment w:val="baseline"/>
        <w:rPr>
          <w:color w:val="000000"/>
        </w:rPr>
      </w:pPr>
      <w:proofErr w:type="spellStart"/>
      <w:r w:rsidRPr="002E18D9">
        <w:rPr>
          <w:color w:val="000000"/>
        </w:rPr>
        <w:t>Oyetunde</w:t>
      </w:r>
      <w:proofErr w:type="spellEnd"/>
      <w:r w:rsidRPr="002E18D9">
        <w:rPr>
          <w:color w:val="000000"/>
        </w:rPr>
        <w:t xml:space="preserve">-Usman, Zainab, Kehinde </w:t>
      </w:r>
      <w:proofErr w:type="spellStart"/>
      <w:r w:rsidRPr="002E18D9">
        <w:rPr>
          <w:color w:val="000000"/>
        </w:rPr>
        <w:t>Oluseyi</w:t>
      </w:r>
      <w:proofErr w:type="spellEnd"/>
      <w:r w:rsidRPr="002E18D9">
        <w:rPr>
          <w:color w:val="000000"/>
        </w:rPr>
        <w:t xml:space="preserve"> </w:t>
      </w:r>
      <w:proofErr w:type="spellStart"/>
      <w:r w:rsidRPr="002E18D9">
        <w:rPr>
          <w:color w:val="000000"/>
        </w:rPr>
        <w:t>Olagunju</w:t>
      </w:r>
      <w:proofErr w:type="spellEnd"/>
      <w:r w:rsidRPr="002E18D9">
        <w:rPr>
          <w:color w:val="000000"/>
        </w:rPr>
        <w:t xml:space="preserve">, and Oyinlola </w:t>
      </w:r>
      <w:proofErr w:type="spellStart"/>
      <w:r w:rsidRPr="002E18D9">
        <w:rPr>
          <w:color w:val="000000"/>
        </w:rPr>
        <w:t>Rafiat</w:t>
      </w:r>
      <w:proofErr w:type="spellEnd"/>
      <w:r w:rsidRPr="002E18D9">
        <w:rPr>
          <w:color w:val="000000"/>
        </w:rPr>
        <w:t xml:space="preserve"> </w:t>
      </w:r>
      <w:proofErr w:type="spellStart"/>
      <w:r w:rsidRPr="002E18D9">
        <w:rPr>
          <w:color w:val="000000"/>
        </w:rPr>
        <w:t>Ogunpaimo</w:t>
      </w:r>
      <w:proofErr w:type="spellEnd"/>
      <w:r w:rsidRPr="002E18D9">
        <w:rPr>
          <w:color w:val="000000"/>
        </w:rPr>
        <w:t xml:space="preserve">. 2021. “Determinants of Adoption of Multiple Sustainable Agricultural Practices among Smallholder Farmers in Nigeria.” International Soil and Water Conservation Research 9 (2): 241–48. </w:t>
      </w:r>
      <w:hyperlink r:id="rId11" w:history="1">
        <w:r w:rsidRPr="002E18D9">
          <w:rPr>
            <w:rStyle w:val="Hyperlink"/>
            <w:color w:val="1155CC"/>
          </w:rPr>
          <w:t>https://doi.org/10.1016/j.iswcr.2020.10.007</w:t>
        </w:r>
      </w:hyperlink>
      <w:r w:rsidRPr="002E18D9">
        <w:rPr>
          <w:color w:val="000000"/>
        </w:rPr>
        <w:t>.</w:t>
      </w:r>
    </w:p>
    <w:p w14:paraId="2AF424A5" w14:textId="77777777" w:rsidR="002E18D9" w:rsidRPr="002E18D9" w:rsidRDefault="002E18D9" w:rsidP="002E18D9">
      <w:pPr>
        <w:pStyle w:val="NormalWeb"/>
        <w:numPr>
          <w:ilvl w:val="0"/>
          <w:numId w:val="4"/>
        </w:numPr>
        <w:spacing w:before="0" w:beforeAutospacing="0" w:after="0" w:afterAutospacing="0" w:line="480" w:lineRule="auto"/>
        <w:textAlignment w:val="baseline"/>
        <w:rPr>
          <w:color w:val="000000"/>
        </w:rPr>
      </w:pPr>
      <w:proofErr w:type="spellStart"/>
      <w:r w:rsidRPr="002E18D9">
        <w:rPr>
          <w:color w:val="000000"/>
        </w:rPr>
        <w:t>Piñeiro</w:t>
      </w:r>
      <w:proofErr w:type="spellEnd"/>
      <w:r w:rsidRPr="002E18D9">
        <w:rPr>
          <w:color w:val="000000"/>
        </w:rPr>
        <w:t xml:space="preserve">, Valeria, Joaquín Arias, J. </w:t>
      </w:r>
      <w:proofErr w:type="spellStart"/>
      <w:r w:rsidRPr="002E18D9">
        <w:rPr>
          <w:color w:val="000000"/>
        </w:rPr>
        <w:t>Dürr</w:t>
      </w:r>
      <w:proofErr w:type="spellEnd"/>
      <w:r w:rsidRPr="002E18D9">
        <w:rPr>
          <w:color w:val="000000"/>
        </w:rPr>
        <w:t xml:space="preserve">, Pablo </w:t>
      </w:r>
      <w:proofErr w:type="spellStart"/>
      <w:r w:rsidRPr="002E18D9">
        <w:rPr>
          <w:color w:val="000000"/>
        </w:rPr>
        <w:t>Elverdin</w:t>
      </w:r>
      <w:proofErr w:type="spellEnd"/>
      <w:r w:rsidRPr="002E18D9">
        <w:rPr>
          <w:color w:val="000000"/>
        </w:rPr>
        <w:t xml:space="preserve">, Ana María Ibáñez, Alison </w:t>
      </w:r>
      <w:proofErr w:type="spellStart"/>
      <w:r w:rsidRPr="002E18D9">
        <w:rPr>
          <w:color w:val="000000"/>
        </w:rPr>
        <w:t>Annet</w:t>
      </w:r>
      <w:proofErr w:type="spellEnd"/>
      <w:r w:rsidRPr="002E18D9">
        <w:rPr>
          <w:color w:val="000000"/>
        </w:rPr>
        <w:t xml:space="preserve"> </w:t>
      </w:r>
      <w:proofErr w:type="spellStart"/>
      <w:r w:rsidRPr="002E18D9">
        <w:rPr>
          <w:color w:val="000000"/>
        </w:rPr>
        <w:t>Kinengyere</w:t>
      </w:r>
      <w:proofErr w:type="spellEnd"/>
      <w:r w:rsidRPr="002E18D9">
        <w:rPr>
          <w:color w:val="000000"/>
        </w:rPr>
        <w:t xml:space="preserve">, </w:t>
      </w:r>
      <w:proofErr w:type="spellStart"/>
      <w:r w:rsidRPr="002E18D9">
        <w:rPr>
          <w:color w:val="000000"/>
        </w:rPr>
        <w:t>Cristián</w:t>
      </w:r>
      <w:proofErr w:type="spellEnd"/>
      <w:r w:rsidRPr="002E18D9">
        <w:rPr>
          <w:color w:val="000000"/>
        </w:rPr>
        <w:t xml:space="preserve"> </w:t>
      </w:r>
      <w:proofErr w:type="spellStart"/>
      <w:r w:rsidRPr="002E18D9">
        <w:rPr>
          <w:color w:val="000000"/>
        </w:rPr>
        <w:t>Opazo</w:t>
      </w:r>
      <w:proofErr w:type="spellEnd"/>
      <w:r w:rsidRPr="002E18D9">
        <w:rPr>
          <w:color w:val="000000"/>
        </w:rPr>
        <w:t xml:space="preserve">, et al. 2020. “A Scoping Review on Incentives for Adoption of Sustainable Agricultural Practices and Their Outcomes.” Nature Sustainability 3 (10): 809–20. </w:t>
      </w:r>
      <w:hyperlink r:id="rId12" w:history="1">
        <w:r w:rsidRPr="002E18D9">
          <w:rPr>
            <w:rStyle w:val="Hyperlink"/>
            <w:color w:val="1155CC"/>
          </w:rPr>
          <w:t>https://doi.org/10.1038/s41893-020-00617-y</w:t>
        </w:r>
      </w:hyperlink>
      <w:r w:rsidRPr="002E18D9">
        <w:rPr>
          <w:color w:val="000000"/>
        </w:rPr>
        <w:t>.</w:t>
      </w:r>
    </w:p>
    <w:p w14:paraId="732EA621" w14:textId="77777777" w:rsidR="002E18D9" w:rsidRPr="002E18D9" w:rsidRDefault="002E18D9" w:rsidP="002E18D9">
      <w:pPr>
        <w:pStyle w:val="NormalWeb"/>
        <w:numPr>
          <w:ilvl w:val="0"/>
          <w:numId w:val="4"/>
        </w:numPr>
        <w:spacing w:before="0" w:beforeAutospacing="0" w:after="0" w:afterAutospacing="0" w:line="480" w:lineRule="auto"/>
        <w:textAlignment w:val="baseline"/>
        <w:rPr>
          <w:color w:val="000000"/>
        </w:rPr>
      </w:pPr>
      <w:proofErr w:type="spellStart"/>
      <w:r w:rsidRPr="002E18D9">
        <w:rPr>
          <w:color w:val="000000"/>
        </w:rPr>
        <w:t>Teklewold</w:t>
      </w:r>
      <w:proofErr w:type="spellEnd"/>
      <w:r w:rsidRPr="002E18D9">
        <w:rPr>
          <w:color w:val="000000"/>
        </w:rPr>
        <w:t xml:space="preserve">, Hailemariam, </w:t>
      </w:r>
      <w:proofErr w:type="spellStart"/>
      <w:r w:rsidRPr="002E18D9">
        <w:rPr>
          <w:color w:val="000000"/>
        </w:rPr>
        <w:t>Menale</w:t>
      </w:r>
      <w:proofErr w:type="spellEnd"/>
      <w:r w:rsidRPr="002E18D9">
        <w:rPr>
          <w:color w:val="000000"/>
        </w:rPr>
        <w:t xml:space="preserve"> Kassie, and Bekele Shiferaw. 2013. “Adoption of Multiple Sustainable Agricultural Practices in Rural Ethiopia.” Journal of Agricultural Economics 64 (3): 597–623. </w:t>
      </w:r>
      <w:hyperlink r:id="rId13" w:history="1">
        <w:r w:rsidRPr="002E18D9">
          <w:rPr>
            <w:rStyle w:val="Hyperlink"/>
            <w:color w:val="1155CC"/>
          </w:rPr>
          <w:t>https://doi.org/10.1111/1477-9552.12011</w:t>
        </w:r>
      </w:hyperlink>
      <w:r w:rsidRPr="002E18D9">
        <w:rPr>
          <w:color w:val="000000"/>
        </w:rPr>
        <w:t>.</w:t>
      </w:r>
    </w:p>
    <w:p w14:paraId="5FA8382C" w14:textId="77777777" w:rsidR="002E18D9" w:rsidRDefault="002E18D9" w:rsidP="002E18D9">
      <w:pPr>
        <w:pStyle w:val="NormalWeb"/>
        <w:numPr>
          <w:ilvl w:val="0"/>
          <w:numId w:val="4"/>
        </w:numPr>
        <w:spacing w:before="0" w:beforeAutospacing="0" w:after="0" w:afterAutospacing="0" w:line="480" w:lineRule="auto"/>
        <w:textAlignment w:val="baseline"/>
        <w:rPr>
          <w:color w:val="000000"/>
        </w:rPr>
      </w:pPr>
      <w:proofErr w:type="spellStart"/>
      <w:r w:rsidRPr="002E18D9">
        <w:rPr>
          <w:color w:val="000000"/>
        </w:rPr>
        <w:lastRenderedPageBreak/>
        <w:t>Tey</w:t>
      </w:r>
      <w:proofErr w:type="spellEnd"/>
      <w:r w:rsidRPr="002E18D9">
        <w:rPr>
          <w:color w:val="000000"/>
        </w:rPr>
        <w:t xml:space="preserve">, Yeong Sheng, Elton Li, Johan </w:t>
      </w:r>
      <w:proofErr w:type="spellStart"/>
      <w:r w:rsidRPr="002E18D9">
        <w:rPr>
          <w:color w:val="000000"/>
        </w:rPr>
        <w:t>Bruwer</w:t>
      </w:r>
      <w:proofErr w:type="spellEnd"/>
      <w:r w:rsidRPr="002E18D9">
        <w:rPr>
          <w:color w:val="000000"/>
        </w:rPr>
        <w:t xml:space="preserve">, </w:t>
      </w:r>
      <w:proofErr w:type="spellStart"/>
      <w:r w:rsidRPr="002E18D9">
        <w:rPr>
          <w:color w:val="000000"/>
        </w:rPr>
        <w:t>Azizol</w:t>
      </w:r>
      <w:proofErr w:type="spellEnd"/>
      <w:r w:rsidRPr="002E18D9">
        <w:rPr>
          <w:color w:val="000000"/>
        </w:rPr>
        <w:t xml:space="preserve"> Abdullah, Mark </w:t>
      </w:r>
      <w:proofErr w:type="spellStart"/>
      <w:r w:rsidRPr="002E18D9">
        <w:rPr>
          <w:color w:val="000000"/>
        </w:rPr>
        <w:t>Brindal</w:t>
      </w:r>
      <w:proofErr w:type="spellEnd"/>
      <w:r w:rsidRPr="002E18D9">
        <w:rPr>
          <w:color w:val="000000"/>
        </w:rPr>
        <w:t xml:space="preserve">, Alias </w:t>
      </w:r>
      <w:proofErr w:type="spellStart"/>
      <w:r w:rsidRPr="002E18D9">
        <w:rPr>
          <w:color w:val="000000"/>
        </w:rPr>
        <w:t>Radam</w:t>
      </w:r>
      <w:proofErr w:type="spellEnd"/>
      <w:r w:rsidRPr="002E18D9">
        <w:rPr>
          <w:color w:val="000000"/>
        </w:rPr>
        <w:t xml:space="preserve">, </w:t>
      </w:r>
      <w:proofErr w:type="spellStart"/>
      <w:r w:rsidRPr="002E18D9">
        <w:rPr>
          <w:color w:val="000000"/>
        </w:rPr>
        <w:t>Mohd</w:t>
      </w:r>
      <w:proofErr w:type="spellEnd"/>
      <w:r w:rsidRPr="002E18D9">
        <w:rPr>
          <w:color w:val="000000"/>
        </w:rPr>
        <w:t xml:space="preserve"> </w:t>
      </w:r>
      <w:proofErr w:type="spellStart"/>
      <w:r w:rsidRPr="002E18D9">
        <w:rPr>
          <w:color w:val="000000"/>
        </w:rPr>
        <w:t>Mansor</w:t>
      </w:r>
      <w:proofErr w:type="spellEnd"/>
      <w:r w:rsidRPr="002E18D9">
        <w:rPr>
          <w:color w:val="000000"/>
        </w:rPr>
        <w:t xml:space="preserve"> Ismail, and </w:t>
      </w:r>
      <w:proofErr w:type="spellStart"/>
      <w:r w:rsidRPr="002E18D9">
        <w:rPr>
          <w:color w:val="000000"/>
        </w:rPr>
        <w:t>Suryani</w:t>
      </w:r>
      <w:proofErr w:type="spellEnd"/>
      <w:r w:rsidRPr="002E18D9">
        <w:rPr>
          <w:color w:val="000000"/>
        </w:rPr>
        <w:t xml:space="preserve"> </w:t>
      </w:r>
      <w:proofErr w:type="spellStart"/>
      <w:r w:rsidRPr="002E18D9">
        <w:rPr>
          <w:color w:val="000000"/>
        </w:rPr>
        <w:t>Darham</w:t>
      </w:r>
      <w:proofErr w:type="spellEnd"/>
      <w:r w:rsidRPr="002E18D9">
        <w:rPr>
          <w:color w:val="000000"/>
        </w:rPr>
        <w:t xml:space="preserve">. 2013. “The Relative Importance of Factors Influencing the Adoption of Sustainable Agricultural Practices: A Factor Approach for Malaysian Vegetable Farmers.” Sustainability Science 9 (1): 17–29. </w:t>
      </w:r>
      <w:hyperlink r:id="rId14" w:history="1">
        <w:r w:rsidRPr="002E18D9">
          <w:rPr>
            <w:rStyle w:val="Hyperlink"/>
            <w:color w:val="1155CC"/>
          </w:rPr>
          <w:t>https://doi.org/10.</w:t>
        </w:r>
        <w:r w:rsidRPr="002E18D9">
          <w:rPr>
            <w:rStyle w:val="Hyperlink"/>
            <w:color w:val="1155CC"/>
          </w:rPr>
          <w:t>1</w:t>
        </w:r>
        <w:r w:rsidRPr="002E18D9">
          <w:rPr>
            <w:rStyle w:val="Hyperlink"/>
            <w:color w:val="1155CC"/>
          </w:rPr>
          <w:t>007/s11625-013-0219-3</w:t>
        </w:r>
      </w:hyperlink>
      <w:r w:rsidRPr="002E18D9">
        <w:rPr>
          <w:color w:val="000000"/>
        </w:rPr>
        <w:t>.</w:t>
      </w:r>
    </w:p>
    <w:p w14:paraId="195084E1" w14:textId="01F3A6CC" w:rsidR="002E18D9" w:rsidRDefault="002E18D9" w:rsidP="002E18D9">
      <w:pPr>
        <w:pStyle w:val="NormalWeb"/>
        <w:numPr>
          <w:ilvl w:val="0"/>
          <w:numId w:val="4"/>
        </w:numPr>
        <w:spacing w:before="0" w:beforeAutospacing="0" w:after="0" w:afterAutospacing="0" w:line="480" w:lineRule="auto"/>
        <w:textAlignment w:val="baseline"/>
        <w:rPr>
          <w:color w:val="000000"/>
        </w:rPr>
      </w:pPr>
      <w:r w:rsidRPr="002E18D9">
        <w:rPr>
          <w:color w:val="000000"/>
        </w:rPr>
        <w:t xml:space="preserve">Sanga, G. J. (2015). Soil and Water Conservation Practices and their Potential for Out-scaling as Water-Smart Strategies </w:t>
      </w:r>
      <w:proofErr w:type="gramStart"/>
      <w:r w:rsidRPr="002E18D9">
        <w:rPr>
          <w:color w:val="000000"/>
        </w:rPr>
        <w:t>in. .</w:t>
      </w:r>
      <w:proofErr w:type="gramEnd"/>
      <w:r w:rsidRPr="002E18D9">
        <w:rPr>
          <w:color w:val="000000"/>
        </w:rPr>
        <w:t xml:space="preserve"> . ResearchGate. </w:t>
      </w:r>
      <w:hyperlink r:id="rId15" w:history="1">
        <w:r w:rsidRPr="002E18D9">
          <w:rPr>
            <w:rStyle w:val="Hyperlink"/>
            <w:color w:val="4472C4" w:themeColor="accent1"/>
          </w:rPr>
          <w:t>https://www.researchgate.net/publication/296437744_Soil_and_Water_Conservation_Practices_and_their_Potential_for_Out-scaling_as_Water-Smart_Strategies_in_Semi-arid_Areas_of_Tanzania</w:t>
        </w:r>
      </w:hyperlink>
    </w:p>
    <w:p w14:paraId="533C2BDE" w14:textId="0948FF1B" w:rsidR="002E18D9" w:rsidRDefault="002E18D9" w:rsidP="002E18D9">
      <w:pPr>
        <w:pStyle w:val="NormalWeb"/>
        <w:numPr>
          <w:ilvl w:val="0"/>
          <w:numId w:val="4"/>
        </w:numPr>
        <w:spacing w:before="0" w:beforeAutospacing="0" w:after="0" w:afterAutospacing="0" w:line="480" w:lineRule="auto"/>
        <w:textAlignment w:val="baseline"/>
        <w:rPr>
          <w:color w:val="000000"/>
        </w:rPr>
      </w:pPr>
      <w:proofErr w:type="spellStart"/>
      <w:r w:rsidRPr="002E18D9">
        <w:rPr>
          <w:color w:val="000000"/>
        </w:rPr>
        <w:t>Zabala</w:t>
      </w:r>
      <w:proofErr w:type="spellEnd"/>
      <w:r w:rsidRPr="002E18D9">
        <w:rPr>
          <w:color w:val="000000"/>
        </w:rPr>
        <w:t xml:space="preserve">, A., Sandbrook, C., &amp; Mukherjee, N. (2018). When and how to use Q methodology to understand perspectives in conservation research. Conservation Biology, 32(5), 1185–1194. </w:t>
      </w:r>
      <w:hyperlink r:id="rId16" w:history="1">
        <w:r w:rsidRPr="002E18D9">
          <w:rPr>
            <w:rStyle w:val="Hyperlink"/>
            <w:color w:val="4472C4" w:themeColor="accent1"/>
          </w:rPr>
          <w:t>https://doi.org/10.1111/cobi.13123</w:t>
        </w:r>
      </w:hyperlink>
    </w:p>
    <w:p w14:paraId="50A08852" w14:textId="5FF175D8" w:rsidR="002E18D9" w:rsidRPr="002E18D9" w:rsidRDefault="002E18D9" w:rsidP="002E18D9">
      <w:pPr>
        <w:pStyle w:val="NormalWeb"/>
        <w:numPr>
          <w:ilvl w:val="0"/>
          <w:numId w:val="4"/>
        </w:numPr>
        <w:spacing w:before="0" w:beforeAutospacing="0" w:after="0" w:afterAutospacing="0" w:line="480" w:lineRule="auto"/>
        <w:textAlignment w:val="baseline"/>
        <w:rPr>
          <w:color w:val="4472C4" w:themeColor="accent1"/>
        </w:rPr>
      </w:pPr>
      <w:proofErr w:type="spellStart"/>
      <w:r w:rsidRPr="002E18D9">
        <w:rPr>
          <w:color w:val="000000"/>
        </w:rPr>
        <w:t>Tey</w:t>
      </w:r>
      <w:proofErr w:type="spellEnd"/>
      <w:r w:rsidRPr="002E18D9">
        <w:rPr>
          <w:color w:val="000000"/>
        </w:rPr>
        <w:t xml:space="preserve">, Y. S., &amp; </w:t>
      </w:r>
      <w:proofErr w:type="spellStart"/>
      <w:r w:rsidRPr="002E18D9">
        <w:rPr>
          <w:color w:val="000000"/>
        </w:rPr>
        <w:t>Brindal</w:t>
      </w:r>
      <w:proofErr w:type="spellEnd"/>
      <w:r w:rsidRPr="002E18D9">
        <w:rPr>
          <w:color w:val="000000"/>
        </w:rPr>
        <w:t>, M. (2012). Factors influencing the adoption of precision agricultural technologies: a review for policy implications. Precision Agriculture, 13(6), 713–730</w:t>
      </w:r>
      <w:r w:rsidRPr="002E18D9">
        <w:rPr>
          <w:color w:val="000000" w:themeColor="text1"/>
        </w:rPr>
        <w:t>.</w:t>
      </w:r>
      <w:r w:rsidRPr="002E18D9">
        <w:rPr>
          <w:color w:val="4472C4" w:themeColor="accent1"/>
        </w:rPr>
        <w:t xml:space="preserve"> </w:t>
      </w:r>
      <w:hyperlink r:id="rId17" w:history="1">
        <w:r w:rsidRPr="002E18D9">
          <w:rPr>
            <w:rStyle w:val="Hyperlink"/>
            <w:color w:val="4472C4" w:themeColor="accent1"/>
          </w:rPr>
          <w:t>https://doi.org/10.1007/s11119-012-9273-6</w:t>
        </w:r>
      </w:hyperlink>
    </w:p>
    <w:p w14:paraId="73CC34D0" w14:textId="311B730B" w:rsidR="002E18D9" w:rsidRDefault="002E18D9" w:rsidP="002E18D9">
      <w:pPr>
        <w:pStyle w:val="NormalWeb"/>
        <w:numPr>
          <w:ilvl w:val="0"/>
          <w:numId w:val="4"/>
        </w:numPr>
        <w:spacing w:line="480" w:lineRule="auto"/>
        <w:textAlignment w:val="baseline"/>
        <w:rPr>
          <w:color w:val="000000"/>
        </w:rPr>
      </w:pPr>
      <w:r w:rsidRPr="002E18D9">
        <w:rPr>
          <w:color w:val="000000"/>
        </w:rPr>
        <w:t xml:space="preserve">Jens Christopher </w:t>
      </w:r>
      <w:proofErr w:type="spellStart"/>
      <w:r w:rsidRPr="002E18D9">
        <w:rPr>
          <w:color w:val="000000"/>
        </w:rPr>
        <w:t>Andvig</w:t>
      </w:r>
      <w:proofErr w:type="spellEnd"/>
      <w:r>
        <w:rPr>
          <w:color w:val="000000"/>
        </w:rPr>
        <w:t xml:space="preserve">. 1999. </w:t>
      </w:r>
      <w:r w:rsidRPr="002E18D9">
        <w:rPr>
          <w:color w:val="000000"/>
        </w:rPr>
        <w:t>Family-controlled Child in Sub-Saharan Africa</w:t>
      </w:r>
      <w:r>
        <w:rPr>
          <w:color w:val="000000"/>
        </w:rPr>
        <w:t xml:space="preserve">. </w:t>
      </w:r>
      <w:r w:rsidRPr="002E18D9">
        <w:rPr>
          <w:color w:val="000000"/>
        </w:rPr>
        <w:t>Norwegian Institute of International Affairs</w:t>
      </w:r>
      <w:r>
        <w:rPr>
          <w:color w:val="000000"/>
        </w:rPr>
        <w:t xml:space="preserve">. </w:t>
      </w:r>
      <w:hyperlink r:id="rId18" w:history="1">
        <w:r w:rsidRPr="002E18D9">
          <w:rPr>
            <w:rStyle w:val="Hyperlink"/>
            <w:color w:val="4472C4" w:themeColor="accent1"/>
          </w:rPr>
          <w:t>https://www.files.ethz.ch/isn/27348/612.pd</w:t>
        </w:r>
        <w:r w:rsidRPr="002E18D9">
          <w:rPr>
            <w:rStyle w:val="Hyperlink"/>
            <w:color w:val="4472C4" w:themeColor="accent1"/>
          </w:rPr>
          <w:t>f</w:t>
        </w:r>
      </w:hyperlink>
    </w:p>
    <w:p w14:paraId="0B62D2B3" w14:textId="28F6CAAC" w:rsidR="002E18D9" w:rsidRDefault="002E18D9" w:rsidP="002E18D9">
      <w:pPr>
        <w:pStyle w:val="NormalWeb"/>
        <w:numPr>
          <w:ilvl w:val="0"/>
          <w:numId w:val="4"/>
        </w:numPr>
        <w:spacing w:line="480" w:lineRule="auto"/>
        <w:textAlignment w:val="baseline"/>
        <w:rPr>
          <w:color w:val="000000"/>
        </w:rPr>
      </w:pPr>
      <w:proofErr w:type="spellStart"/>
      <w:r w:rsidRPr="002E18D9">
        <w:rPr>
          <w:color w:val="000000"/>
        </w:rPr>
        <w:t>Abara</w:t>
      </w:r>
      <w:proofErr w:type="spellEnd"/>
      <w:r w:rsidRPr="002E18D9">
        <w:rPr>
          <w:color w:val="000000"/>
        </w:rPr>
        <w:t xml:space="preserve">, I. O., &amp; Singh, S. (1993). Ethics and biases in technology adoption: The small-firm argument. Technological Forecasting and Social Change, 43(3–4), 289–300. </w:t>
      </w:r>
      <w:hyperlink r:id="rId19" w:history="1">
        <w:r w:rsidRPr="002E18D9">
          <w:rPr>
            <w:rStyle w:val="Hyperlink"/>
            <w:color w:val="4472C4" w:themeColor="accent1"/>
          </w:rPr>
          <w:t>https://doi.org/10.1016/0040-1625(93)90057-e</w:t>
        </w:r>
      </w:hyperlink>
    </w:p>
    <w:p w14:paraId="12F259A0" w14:textId="05BF2F6A" w:rsidR="002E18D9" w:rsidRPr="00E354D0" w:rsidRDefault="002E18D9" w:rsidP="002E18D9">
      <w:pPr>
        <w:pStyle w:val="NormalWeb"/>
        <w:numPr>
          <w:ilvl w:val="0"/>
          <w:numId w:val="4"/>
        </w:numPr>
        <w:spacing w:line="480" w:lineRule="auto"/>
        <w:textAlignment w:val="baseline"/>
        <w:rPr>
          <w:color w:val="000000"/>
        </w:rPr>
      </w:pPr>
      <w:r w:rsidRPr="002E18D9">
        <w:rPr>
          <w:color w:val="000000"/>
        </w:rPr>
        <w:lastRenderedPageBreak/>
        <w:t xml:space="preserve">Njeru, M. K. (2020). Socioeconomic determinants of adoption of Eco-Friendly farming practices in agroecosystems of Embu County, Kenya. East African Journal of Agriculture and Biotechnology, 2(1), 1–11. </w:t>
      </w:r>
      <w:hyperlink r:id="rId20" w:history="1">
        <w:r w:rsidRPr="002E18D9">
          <w:rPr>
            <w:rStyle w:val="Hyperlink"/>
            <w:color w:val="4472C4" w:themeColor="accent1"/>
          </w:rPr>
          <w:t>https://doi.org/10.37284/eajab.2.1.112</w:t>
        </w:r>
      </w:hyperlink>
    </w:p>
    <w:p w14:paraId="32719CBB" w14:textId="53C8EF97" w:rsidR="00E354D0" w:rsidRPr="005362F3" w:rsidRDefault="00E354D0" w:rsidP="00E354D0">
      <w:pPr>
        <w:pStyle w:val="NormalWeb"/>
        <w:numPr>
          <w:ilvl w:val="0"/>
          <w:numId w:val="4"/>
        </w:numPr>
        <w:spacing w:line="480" w:lineRule="auto"/>
        <w:textAlignment w:val="baseline"/>
        <w:rPr>
          <w:color w:val="000000"/>
        </w:rPr>
      </w:pPr>
      <w:r w:rsidRPr="00E354D0">
        <w:rPr>
          <w:rFonts w:hint="eastAsia"/>
          <w:color w:val="000000"/>
          <w:lang w:val="de-DE"/>
        </w:rPr>
        <w:t xml:space="preserve">Kassie, M., </w:t>
      </w:r>
      <w:proofErr w:type="spellStart"/>
      <w:r w:rsidRPr="00E354D0">
        <w:rPr>
          <w:rFonts w:hint="eastAsia"/>
          <w:color w:val="000000"/>
          <w:lang w:val="de-DE"/>
        </w:rPr>
        <w:t>Zikhali</w:t>
      </w:r>
      <w:proofErr w:type="spellEnd"/>
      <w:r w:rsidRPr="00E354D0">
        <w:rPr>
          <w:rFonts w:hint="eastAsia"/>
          <w:color w:val="000000"/>
          <w:lang w:val="de-DE"/>
        </w:rPr>
        <w:t xml:space="preserve">, P., </w:t>
      </w:r>
      <w:proofErr w:type="spellStart"/>
      <w:r w:rsidRPr="00E354D0">
        <w:rPr>
          <w:rFonts w:hint="eastAsia"/>
          <w:color w:val="000000"/>
          <w:lang w:val="de-DE"/>
        </w:rPr>
        <w:t>Manjur</w:t>
      </w:r>
      <w:proofErr w:type="spellEnd"/>
      <w:r w:rsidRPr="00E354D0">
        <w:rPr>
          <w:rFonts w:hint="eastAsia"/>
          <w:color w:val="000000"/>
          <w:lang w:val="de-DE"/>
        </w:rPr>
        <w:t xml:space="preserve">, K., &amp; Edwards, S. (2009). </w:t>
      </w:r>
      <w:r w:rsidRPr="00E354D0">
        <w:rPr>
          <w:rFonts w:hint="eastAsia"/>
          <w:color w:val="000000"/>
        </w:rPr>
        <w:t xml:space="preserve">Adoption of sustainable agriculture practices: Evidence from a semi‐arid region of Ethiopia. Natural Resources Forum, 33(3), 189–198. </w:t>
      </w:r>
      <w:hyperlink r:id="rId21" w:history="1">
        <w:r w:rsidRPr="00E354D0">
          <w:rPr>
            <w:rStyle w:val="Hyperlink"/>
            <w:rFonts w:hint="eastAsia"/>
            <w:color w:val="4472C4" w:themeColor="accent1"/>
          </w:rPr>
          <w:t>https://doi.org/10.1111/j.1477-8947.2009.01224.x</w:t>
        </w:r>
      </w:hyperlink>
    </w:p>
    <w:p w14:paraId="54D92869" w14:textId="77777777" w:rsidR="006F4618" w:rsidRDefault="006F4618" w:rsidP="002E18D9">
      <w:pPr>
        <w:pStyle w:val="NormalWeb"/>
        <w:spacing w:line="480" w:lineRule="auto"/>
        <w:textAlignment w:val="baseline"/>
        <w:rPr>
          <w:color w:val="000000"/>
        </w:rPr>
      </w:pPr>
    </w:p>
    <w:p w14:paraId="5377648F" w14:textId="52A65887" w:rsidR="007A67E4" w:rsidRDefault="007A67E4" w:rsidP="002E18D9">
      <w:pPr>
        <w:pStyle w:val="NormalWeb"/>
        <w:spacing w:line="480" w:lineRule="auto"/>
        <w:textAlignment w:val="baseline"/>
        <w:rPr>
          <w:color w:val="000000"/>
        </w:rPr>
      </w:pPr>
      <w:r>
        <w:rPr>
          <w:color w:val="000000"/>
        </w:rPr>
        <w:t xml:space="preserve">Appendix 1 Summary of socio-economic factors of households </w:t>
      </w:r>
    </w:p>
    <w:p w14:paraId="1E83A71C" w14:textId="4BB30629" w:rsidR="003B2DAC" w:rsidRDefault="003B2DAC" w:rsidP="006F4618">
      <w:pPr>
        <w:pStyle w:val="NormalWeb"/>
        <w:textAlignment w:val="baseline"/>
        <w:rPr>
          <w:color w:val="000000"/>
        </w:rPr>
      </w:pPr>
      <w:r>
        <w:rPr>
          <w:color w:val="000000"/>
        </w:rPr>
        <w:t xml:space="preserve">Table </w:t>
      </w:r>
      <w:r w:rsidR="00C14E38">
        <w:rPr>
          <w:color w:val="000000"/>
        </w:rPr>
        <w:t>2</w:t>
      </w:r>
      <w:r w:rsidR="006F4618">
        <w:rPr>
          <w:color w:val="000000"/>
        </w:rPr>
        <w:t xml:space="preserve">. summary of socio-economic factors of households </w:t>
      </w:r>
    </w:p>
    <w:tbl>
      <w:tblPr>
        <w:tblStyle w:val="TableGrid"/>
        <w:tblW w:w="0" w:type="auto"/>
        <w:tblLook w:val="04A0" w:firstRow="1" w:lastRow="0" w:firstColumn="1" w:lastColumn="0" w:noHBand="0" w:noVBand="1"/>
      </w:tblPr>
      <w:tblGrid>
        <w:gridCol w:w="1870"/>
        <w:gridCol w:w="1870"/>
        <w:gridCol w:w="1870"/>
        <w:gridCol w:w="1870"/>
        <w:gridCol w:w="1870"/>
      </w:tblGrid>
      <w:tr w:rsidR="00F12590" w14:paraId="1009FD20" w14:textId="2A94D541" w:rsidTr="00F12590">
        <w:tc>
          <w:tcPr>
            <w:tcW w:w="1870" w:type="dxa"/>
          </w:tcPr>
          <w:p w14:paraId="47B9AFFF" w14:textId="5F74720D" w:rsidR="00F12590" w:rsidRDefault="00F12590" w:rsidP="002E18D9">
            <w:pPr>
              <w:pStyle w:val="NormalWeb"/>
              <w:spacing w:line="480" w:lineRule="auto"/>
              <w:textAlignment w:val="baseline"/>
              <w:rPr>
                <w:color w:val="000000"/>
              </w:rPr>
            </w:pPr>
            <w:r>
              <w:rPr>
                <w:color w:val="000000"/>
              </w:rPr>
              <w:t xml:space="preserve">Variable </w:t>
            </w:r>
          </w:p>
        </w:tc>
        <w:tc>
          <w:tcPr>
            <w:tcW w:w="1870" w:type="dxa"/>
          </w:tcPr>
          <w:p w14:paraId="39A1AD71" w14:textId="58D95ADD" w:rsidR="00F12590" w:rsidRDefault="00F12590" w:rsidP="002E18D9">
            <w:pPr>
              <w:pStyle w:val="NormalWeb"/>
              <w:spacing w:line="480" w:lineRule="auto"/>
              <w:textAlignment w:val="baseline"/>
              <w:rPr>
                <w:color w:val="000000"/>
              </w:rPr>
            </w:pPr>
            <w:r>
              <w:rPr>
                <w:color w:val="000000"/>
              </w:rPr>
              <w:t xml:space="preserve">Mean </w:t>
            </w:r>
          </w:p>
        </w:tc>
        <w:tc>
          <w:tcPr>
            <w:tcW w:w="1870" w:type="dxa"/>
          </w:tcPr>
          <w:p w14:paraId="0A879FCC" w14:textId="45668A95" w:rsidR="00F12590" w:rsidRDefault="00F12590" w:rsidP="002E18D9">
            <w:pPr>
              <w:pStyle w:val="NormalWeb"/>
              <w:spacing w:line="480" w:lineRule="auto"/>
              <w:textAlignment w:val="baseline"/>
              <w:rPr>
                <w:color w:val="000000"/>
              </w:rPr>
            </w:pPr>
            <w:r>
              <w:rPr>
                <w:color w:val="000000"/>
              </w:rPr>
              <w:t>Standard Error</w:t>
            </w:r>
          </w:p>
        </w:tc>
        <w:tc>
          <w:tcPr>
            <w:tcW w:w="1870" w:type="dxa"/>
          </w:tcPr>
          <w:p w14:paraId="118948F6" w14:textId="44BE5749" w:rsidR="00F12590" w:rsidRDefault="00F12590" w:rsidP="002E18D9">
            <w:pPr>
              <w:pStyle w:val="NormalWeb"/>
              <w:spacing w:line="480" w:lineRule="auto"/>
              <w:textAlignment w:val="baseline"/>
              <w:rPr>
                <w:color w:val="000000"/>
              </w:rPr>
            </w:pPr>
            <w:r>
              <w:rPr>
                <w:color w:val="000000"/>
              </w:rPr>
              <w:t>Min</w:t>
            </w:r>
          </w:p>
        </w:tc>
        <w:tc>
          <w:tcPr>
            <w:tcW w:w="1870" w:type="dxa"/>
          </w:tcPr>
          <w:p w14:paraId="2AC5D5B0" w14:textId="36FAFB17" w:rsidR="00F12590" w:rsidRDefault="00F12590" w:rsidP="002E18D9">
            <w:pPr>
              <w:pStyle w:val="NormalWeb"/>
              <w:spacing w:line="480" w:lineRule="auto"/>
              <w:textAlignment w:val="baseline"/>
              <w:rPr>
                <w:color w:val="000000"/>
              </w:rPr>
            </w:pPr>
            <w:r>
              <w:rPr>
                <w:color w:val="000000"/>
              </w:rPr>
              <w:t xml:space="preserve">Max </w:t>
            </w:r>
          </w:p>
        </w:tc>
      </w:tr>
      <w:tr w:rsidR="00F12590" w14:paraId="3998F3B4" w14:textId="02A387D3" w:rsidTr="00F12590">
        <w:tc>
          <w:tcPr>
            <w:tcW w:w="1870" w:type="dxa"/>
          </w:tcPr>
          <w:p w14:paraId="6A4067F3" w14:textId="21D2CE4A" w:rsidR="00F12590" w:rsidRDefault="00F12590" w:rsidP="002E18D9">
            <w:pPr>
              <w:pStyle w:val="NormalWeb"/>
              <w:spacing w:line="480" w:lineRule="auto"/>
              <w:textAlignment w:val="baseline"/>
              <w:rPr>
                <w:color w:val="000000"/>
              </w:rPr>
            </w:pPr>
            <w:proofErr w:type="spellStart"/>
            <w:r>
              <w:rPr>
                <w:color w:val="000000"/>
              </w:rPr>
              <w:t>ageh</w:t>
            </w:r>
            <w:proofErr w:type="spellEnd"/>
          </w:p>
        </w:tc>
        <w:tc>
          <w:tcPr>
            <w:tcW w:w="1870" w:type="dxa"/>
          </w:tcPr>
          <w:p w14:paraId="43E0BF60" w14:textId="5A88ED77" w:rsidR="00F12590" w:rsidRDefault="00F12590" w:rsidP="002E18D9">
            <w:pPr>
              <w:pStyle w:val="NormalWeb"/>
              <w:spacing w:line="480" w:lineRule="auto"/>
              <w:textAlignment w:val="baseline"/>
              <w:rPr>
                <w:color w:val="000000"/>
              </w:rPr>
            </w:pPr>
            <w:r>
              <w:rPr>
                <w:color w:val="000000"/>
              </w:rPr>
              <w:t>49.14731</w:t>
            </w:r>
          </w:p>
        </w:tc>
        <w:tc>
          <w:tcPr>
            <w:tcW w:w="1870" w:type="dxa"/>
          </w:tcPr>
          <w:p w14:paraId="201AA782" w14:textId="7DC22EC7" w:rsidR="00F12590" w:rsidRDefault="00F12590" w:rsidP="002E18D9">
            <w:pPr>
              <w:pStyle w:val="NormalWeb"/>
              <w:spacing w:line="480" w:lineRule="auto"/>
              <w:textAlignment w:val="baseline"/>
              <w:rPr>
                <w:color w:val="000000"/>
              </w:rPr>
            </w:pPr>
            <w:r>
              <w:rPr>
                <w:color w:val="000000"/>
              </w:rPr>
              <w:t>13.42178</w:t>
            </w:r>
          </w:p>
        </w:tc>
        <w:tc>
          <w:tcPr>
            <w:tcW w:w="1870" w:type="dxa"/>
          </w:tcPr>
          <w:p w14:paraId="3148E812" w14:textId="3E4F3871" w:rsidR="00F12590" w:rsidRDefault="00F12590" w:rsidP="002E18D9">
            <w:pPr>
              <w:pStyle w:val="NormalWeb"/>
              <w:spacing w:line="480" w:lineRule="auto"/>
              <w:textAlignment w:val="baseline"/>
              <w:rPr>
                <w:color w:val="000000"/>
              </w:rPr>
            </w:pPr>
            <w:r>
              <w:rPr>
                <w:color w:val="000000"/>
              </w:rPr>
              <w:t>20</w:t>
            </w:r>
          </w:p>
        </w:tc>
        <w:tc>
          <w:tcPr>
            <w:tcW w:w="1870" w:type="dxa"/>
          </w:tcPr>
          <w:p w14:paraId="569E56AF" w14:textId="10024A9A" w:rsidR="00F12590" w:rsidRDefault="00F12590" w:rsidP="002E18D9">
            <w:pPr>
              <w:pStyle w:val="NormalWeb"/>
              <w:spacing w:line="480" w:lineRule="auto"/>
              <w:textAlignment w:val="baseline"/>
              <w:rPr>
                <w:color w:val="000000"/>
              </w:rPr>
            </w:pPr>
            <w:r>
              <w:rPr>
                <w:color w:val="000000"/>
              </w:rPr>
              <w:t>94</w:t>
            </w:r>
          </w:p>
        </w:tc>
      </w:tr>
      <w:tr w:rsidR="003B2DAC" w14:paraId="11938A82" w14:textId="77777777" w:rsidTr="00F12590">
        <w:tc>
          <w:tcPr>
            <w:tcW w:w="1870" w:type="dxa"/>
          </w:tcPr>
          <w:p w14:paraId="1A0A8824" w14:textId="020FB3B8" w:rsidR="003B2DAC" w:rsidRDefault="003B2DAC" w:rsidP="002E18D9">
            <w:pPr>
              <w:pStyle w:val="NormalWeb"/>
              <w:spacing w:line="480" w:lineRule="auto"/>
              <w:textAlignment w:val="baseline"/>
              <w:rPr>
                <w:color w:val="000000"/>
              </w:rPr>
            </w:pPr>
            <w:proofErr w:type="spellStart"/>
            <w:r>
              <w:rPr>
                <w:color w:val="000000"/>
              </w:rPr>
              <w:t>sexhh</w:t>
            </w:r>
            <w:proofErr w:type="spellEnd"/>
          </w:p>
        </w:tc>
        <w:tc>
          <w:tcPr>
            <w:tcW w:w="1870" w:type="dxa"/>
          </w:tcPr>
          <w:p w14:paraId="21159982" w14:textId="3EBCA4A9" w:rsidR="003B2DAC" w:rsidRDefault="003B2DAC" w:rsidP="002E18D9">
            <w:pPr>
              <w:pStyle w:val="NormalWeb"/>
              <w:spacing w:line="480" w:lineRule="auto"/>
              <w:textAlignment w:val="baseline"/>
              <w:rPr>
                <w:color w:val="000000"/>
              </w:rPr>
            </w:pPr>
            <w:r w:rsidRPr="003B2DAC">
              <w:rPr>
                <w:color w:val="000000"/>
              </w:rPr>
              <w:t xml:space="preserve">.7521664            </w:t>
            </w:r>
          </w:p>
        </w:tc>
        <w:tc>
          <w:tcPr>
            <w:tcW w:w="1870" w:type="dxa"/>
          </w:tcPr>
          <w:p w14:paraId="54AECE31" w14:textId="67B6EBA1" w:rsidR="003B2DAC" w:rsidRDefault="003B2DAC" w:rsidP="002E18D9">
            <w:pPr>
              <w:pStyle w:val="NormalWeb"/>
              <w:spacing w:line="480" w:lineRule="auto"/>
              <w:textAlignment w:val="baseline"/>
              <w:rPr>
                <w:color w:val="000000"/>
              </w:rPr>
            </w:pPr>
            <w:r w:rsidRPr="003B2DAC">
              <w:rPr>
                <w:color w:val="000000"/>
              </w:rPr>
              <w:t xml:space="preserve">4321293          </w:t>
            </w:r>
          </w:p>
        </w:tc>
        <w:tc>
          <w:tcPr>
            <w:tcW w:w="1870" w:type="dxa"/>
          </w:tcPr>
          <w:p w14:paraId="51290FF5" w14:textId="6605B073" w:rsidR="003B2DAC" w:rsidRDefault="003B2DAC" w:rsidP="002E18D9">
            <w:pPr>
              <w:pStyle w:val="NormalWeb"/>
              <w:spacing w:line="480" w:lineRule="auto"/>
              <w:textAlignment w:val="baseline"/>
              <w:rPr>
                <w:color w:val="000000"/>
              </w:rPr>
            </w:pPr>
            <w:r>
              <w:rPr>
                <w:color w:val="000000"/>
              </w:rPr>
              <w:t>0</w:t>
            </w:r>
          </w:p>
        </w:tc>
        <w:tc>
          <w:tcPr>
            <w:tcW w:w="1870" w:type="dxa"/>
          </w:tcPr>
          <w:p w14:paraId="2F5601E5" w14:textId="034F0971" w:rsidR="003B2DAC" w:rsidRDefault="003B2DAC" w:rsidP="002E18D9">
            <w:pPr>
              <w:pStyle w:val="NormalWeb"/>
              <w:spacing w:line="480" w:lineRule="auto"/>
              <w:textAlignment w:val="baseline"/>
              <w:rPr>
                <w:color w:val="000000"/>
              </w:rPr>
            </w:pPr>
            <w:r>
              <w:rPr>
                <w:color w:val="000000"/>
              </w:rPr>
              <w:t>1</w:t>
            </w:r>
          </w:p>
        </w:tc>
      </w:tr>
      <w:tr w:rsidR="00F12590" w14:paraId="123963B2" w14:textId="137057CA" w:rsidTr="00F12590">
        <w:tc>
          <w:tcPr>
            <w:tcW w:w="1870" w:type="dxa"/>
          </w:tcPr>
          <w:p w14:paraId="3BCA1330" w14:textId="3465F8D7" w:rsidR="00F12590" w:rsidRDefault="00F12590" w:rsidP="002E18D9">
            <w:pPr>
              <w:pStyle w:val="NormalWeb"/>
              <w:spacing w:line="480" w:lineRule="auto"/>
              <w:textAlignment w:val="baseline"/>
              <w:rPr>
                <w:color w:val="000000"/>
              </w:rPr>
            </w:pPr>
            <w:proofErr w:type="spellStart"/>
            <w:r>
              <w:rPr>
                <w:color w:val="000000"/>
              </w:rPr>
              <w:t>educationhh</w:t>
            </w:r>
            <w:proofErr w:type="spellEnd"/>
            <w:r>
              <w:rPr>
                <w:color w:val="000000"/>
              </w:rPr>
              <w:t xml:space="preserve"> </w:t>
            </w:r>
          </w:p>
        </w:tc>
        <w:tc>
          <w:tcPr>
            <w:tcW w:w="1870" w:type="dxa"/>
          </w:tcPr>
          <w:p w14:paraId="524EE743" w14:textId="0D4235AA" w:rsidR="00F12590" w:rsidRDefault="00F12590" w:rsidP="002E18D9">
            <w:pPr>
              <w:pStyle w:val="NormalWeb"/>
              <w:spacing w:line="480" w:lineRule="auto"/>
              <w:textAlignment w:val="baseline"/>
              <w:rPr>
                <w:color w:val="000000"/>
              </w:rPr>
            </w:pPr>
            <w:r>
              <w:rPr>
                <w:color w:val="000000"/>
              </w:rPr>
              <w:t>1.320624</w:t>
            </w:r>
          </w:p>
        </w:tc>
        <w:tc>
          <w:tcPr>
            <w:tcW w:w="1870" w:type="dxa"/>
          </w:tcPr>
          <w:p w14:paraId="380AD27A" w14:textId="75A25DC7" w:rsidR="00F12590" w:rsidRDefault="00F12590" w:rsidP="002E18D9">
            <w:pPr>
              <w:pStyle w:val="NormalWeb"/>
              <w:spacing w:line="480" w:lineRule="auto"/>
              <w:textAlignment w:val="baseline"/>
              <w:rPr>
                <w:color w:val="000000"/>
              </w:rPr>
            </w:pPr>
            <w:r w:rsidRPr="00F12590">
              <w:rPr>
                <w:color w:val="000000"/>
              </w:rPr>
              <w:t>2.787523</w:t>
            </w:r>
          </w:p>
        </w:tc>
        <w:tc>
          <w:tcPr>
            <w:tcW w:w="1870" w:type="dxa"/>
          </w:tcPr>
          <w:p w14:paraId="584F4A1B" w14:textId="70F4A289" w:rsidR="00F12590" w:rsidRDefault="00F12590" w:rsidP="002E18D9">
            <w:pPr>
              <w:pStyle w:val="NormalWeb"/>
              <w:spacing w:line="480" w:lineRule="auto"/>
              <w:textAlignment w:val="baseline"/>
              <w:rPr>
                <w:color w:val="000000"/>
              </w:rPr>
            </w:pPr>
            <w:r>
              <w:rPr>
                <w:color w:val="000000"/>
              </w:rPr>
              <w:t>0</w:t>
            </w:r>
          </w:p>
        </w:tc>
        <w:tc>
          <w:tcPr>
            <w:tcW w:w="1870" w:type="dxa"/>
          </w:tcPr>
          <w:p w14:paraId="57E48D30" w14:textId="194E2842" w:rsidR="00F12590" w:rsidRDefault="00F12590" w:rsidP="002E18D9">
            <w:pPr>
              <w:pStyle w:val="NormalWeb"/>
              <w:spacing w:line="480" w:lineRule="auto"/>
              <w:textAlignment w:val="baseline"/>
              <w:rPr>
                <w:color w:val="000000"/>
              </w:rPr>
            </w:pPr>
            <w:r>
              <w:rPr>
                <w:color w:val="000000"/>
              </w:rPr>
              <w:t>12</w:t>
            </w:r>
          </w:p>
        </w:tc>
      </w:tr>
      <w:tr w:rsidR="00F12590" w14:paraId="205B0A7A" w14:textId="76095C1A" w:rsidTr="00F12590">
        <w:tc>
          <w:tcPr>
            <w:tcW w:w="1870" w:type="dxa"/>
          </w:tcPr>
          <w:p w14:paraId="3EB2612E" w14:textId="722FF3DE" w:rsidR="00F12590" w:rsidRDefault="00F12590" w:rsidP="002E18D9">
            <w:pPr>
              <w:pStyle w:val="NormalWeb"/>
              <w:spacing w:line="480" w:lineRule="auto"/>
              <w:textAlignment w:val="baseline"/>
              <w:rPr>
                <w:color w:val="000000"/>
              </w:rPr>
            </w:pPr>
            <w:proofErr w:type="spellStart"/>
            <w:r>
              <w:rPr>
                <w:color w:val="000000"/>
              </w:rPr>
              <w:t>farmsize</w:t>
            </w:r>
            <w:proofErr w:type="spellEnd"/>
          </w:p>
        </w:tc>
        <w:tc>
          <w:tcPr>
            <w:tcW w:w="1870" w:type="dxa"/>
          </w:tcPr>
          <w:p w14:paraId="5C47006B" w14:textId="2046B2BC" w:rsidR="00F12590" w:rsidRDefault="00F12590" w:rsidP="002E18D9">
            <w:pPr>
              <w:pStyle w:val="NormalWeb"/>
              <w:spacing w:line="480" w:lineRule="auto"/>
              <w:textAlignment w:val="baseline"/>
              <w:rPr>
                <w:color w:val="000000"/>
              </w:rPr>
            </w:pPr>
            <w:r w:rsidRPr="00F12590">
              <w:rPr>
                <w:color w:val="000000"/>
              </w:rPr>
              <w:t>2.864818</w:t>
            </w:r>
          </w:p>
        </w:tc>
        <w:tc>
          <w:tcPr>
            <w:tcW w:w="1870" w:type="dxa"/>
          </w:tcPr>
          <w:p w14:paraId="2AE7F97D" w14:textId="77B7E298" w:rsidR="00F12590" w:rsidRDefault="00F12590" w:rsidP="002E18D9">
            <w:pPr>
              <w:pStyle w:val="NormalWeb"/>
              <w:spacing w:line="480" w:lineRule="auto"/>
              <w:textAlignment w:val="baseline"/>
              <w:rPr>
                <w:color w:val="000000"/>
              </w:rPr>
            </w:pPr>
            <w:r w:rsidRPr="00F12590">
              <w:rPr>
                <w:color w:val="000000"/>
              </w:rPr>
              <w:t>4.777962</w:t>
            </w:r>
          </w:p>
        </w:tc>
        <w:tc>
          <w:tcPr>
            <w:tcW w:w="1870" w:type="dxa"/>
          </w:tcPr>
          <w:p w14:paraId="076685C6" w14:textId="647CE098" w:rsidR="00F12590" w:rsidRDefault="00F12590" w:rsidP="002E18D9">
            <w:pPr>
              <w:pStyle w:val="NormalWeb"/>
              <w:spacing w:line="480" w:lineRule="auto"/>
              <w:textAlignment w:val="baseline"/>
              <w:rPr>
                <w:color w:val="000000"/>
              </w:rPr>
            </w:pPr>
            <w:r>
              <w:rPr>
                <w:color w:val="000000"/>
              </w:rPr>
              <w:t>0</w:t>
            </w:r>
          </w:p>
        </w:tc>
        <w:tc>
          <w:tcPr>
            <w:tcW w:w="1870" w:type="dxa"/>
          </w:tcPr>
          <w:p w14:paraId="601F4056" w14:textId="7CDBB9DF" w:rsidR="00F12590" w:rsidRDefault="00F12590" w:rsidP="002E18D9">
            <w:pPr>
              <w:pStyle w:val="NormalWeb"/>
              <w:spacing w:line="480" w:lineRule="auto"/>
              <w:textAlignment w:val="baseline"/>
              <w:rPr>
                <w:color w:val="000000"/>
              </w:rPr>
            </w:pPr>
            <w:r>
              <w:rPr>
                <w:color w:val="000000"/>
              </w:rPr>
              <w:t>61</w:t>
            </w:r>
          </w:p>
        </w:tc>
      </w:tr>
      <w:tr w:rsidR="00F12590" w14:paraId="6C425F3A" w14:textId="77777777" w:rsidTr="00F12590">
        <w:tc>
          <w:tcPr>
            <w:tcW w:w="1870" w:type="dxa"/>
          </w:tcPr>
          <w:p w14:paraId="1E5AB96F" w14:textId="6C1F82EC" w:rsidR="00F12590" w:rsidRDefault="00F12590" w:rsidP="002E18D9">
            <w:pPr>
              <w:pStyle w:val="NormalWeb"/>
              <w:spacing w:line="480" w:lineRule="auto"/>
              <w:textAlignment w:val="baseline"/>
              <w:rPr>
                <w:color w:val="000000"/>
              </w:rPr>
            </w:pPr>
            <w:r>
              <w:rPr>
                <w:color w:val="000000"/>
              </w:rPr>
              <w:t>household size</w:t>
            </w:r>
          </w:p>
        </w:tc>
        <w:tc>
          <w:tcPr>
            <w:tcW w:w="1870" w:type="dxa"/>
          </w:tcPr>
          <w:p w14:paraId="1988A973" w14:textId="329D2A0D" w:rsidR="00F12590" w:rsidRPr="00F12590" w:rsidRDefault="00F12590" w:rsidP="002E18D9">
            <w:pPr>
              <w:pStyle w:val="NormalWeb"/>
              <w:spacing w:line="480" w:lineRule="auto"/>
              <w:textAlignment w:val="baseline"/>
              <w:rPr>
                <w:color w:val="000000"/>
              </w:rPr>
            </w:pPr>
            <w:r w:rsidRPr="00F12590">
              <w:rPr>
                <w:color w:val="000000"/>
              </w:rPr>
              <w:t>1.847487</w:t>
            </w:r>
          </w:p>
        </w:tc>
        <w:tc>
          <w:tcPr>
            <w:tcW w:w="1870" w:type="dxa"/>
          </w:tcPr>
          <w:p w14:paraId="2AD96E41" w14:textId="38AC101A" w:rsidR="00F12590" w:rsidRPr="00F12590" w:rsidRDefault="00F12590" w:rsidP="002E18D9">
            <w:pPr>
              <w:pStyle w:val="NormalWeb"/>
              <w:spacing w:line="480" w:lineRule="auto"/>
              <w:textAlignment w:val="baseline"/>
              <w:rPr>
                <w:color w:val="000000"/>
              </w:rPr>
            </w:pPr>
            <w:r>
              <w:rPr>
                <w:color w:val="000000"/>
              </w:rPr>
              <w:t>0</w:t>
            </w:r>
            <w:r w:rsidRPr="00F12590">
              <w:rPr>
                <w:color w:val="000000"/>
              </w:rPr>
              <w:t>.4052153</w:t>
            </w:r>
          </w:p>
        </w:tc>
        <w:tc>
          <w:tcPr>
            <w:tcW w:w="1870" w:type="dxa"/>
          </w:tcPr>
          <w:p w14:paraId="72678668" w14:textId="0FEE95D8" w:rsidR="00F12590" w:rsidRDefault="00F12590" w:rsidP="002E18D9">
            <w:pPr>
              <w:pStyle w:val="NormalWeb"/>
              <w:spacing w:line="480" w:lineRule="auto"/>
              <w:textAlignment w:val="baseline"/>
              <w:rPr>
                <w:color w:val="000000"/>
              </w:rPr>
            </w:pPr>
            <w:r>
              <w:rPr>
                <w:color w:val="000000"/>
              </w:rPr>
              <w:t>0</w:t>
            </w:r>
          </w:p>
        </w:tc>
        <w:tc>
          <w:tcPr>
            <w:tcW w:w="1870" w:type="dxa"/>
          </w:tcPr>
          <w:p w14:paraId="089C38F9" w14:textId="4EF7278E" w:rsidR="00F12590" w:rsidRDefault="00F12590" w:rsidP="002E18D9">
            <w:pPr>
              <w:pStyle w:val="NormalWeb"/>
              <w:spacing w:line="480" w:lineRule="auto"/>
              <w:textAlignment w:val="baseline"/>
              <w:rPr>
                <w:color w:val="000000"/>
              </w:rPr>
            </w:pPr>
            <w:r>
              <w:rPr>
                <w:color w:val="000000"/>
              </w:rPr>
              <w:t>3</w:t>
            </w:r>
          </w:p>
        </w:tc>
      </w:tr>
      <w:tr w:rsidR="00F12590" w14:paraId="0F09BB3A" w14:textId="77777777" w:rsidTr="00F12590">
        <w:tc>
          <w:tcPr>
            <w:tcW w:w="1870" w:type="dxa"/>
          </w:tcPr>
          <w:p w14:paraId="07BC3963" w14:textId="6B09950B" w:rsidR="00F12590" w:rsidRDefault="003B2DAC" w:rsidP="002E18D9">
            <w:pPr>
              <w:pStyle w:val="NormalWeb"/>
              <w:spacing w:line="480" w:lineRule="auto"/>
              <w:textAlignment w:val="baseline"/>
              <w:rPr>
                <w:color w:val="000000"/>
              </w:rPr>
            </w:pPr>
            <w:proofErr w:type="spellStart"/>
            <w:r>
              <w:rPr>
                <w:color w:val="000000"/>
              </w:rPr>
              <w:t>tlu</w:t>
            </w:r>
            <w:proofErr w:type="spellEnd"/>
          </w:p>
        </w:tc>
        <w:tc>
          <w:tcPr>
            <w:tcW w:w="1870" w:type="dxa"/>
          </w:tcPr>
          <w:p w14:paraId="5AF231B4" w14:textId="7A0FDA9A" w:rsidR="00F12590" w:rsidRPr="00F12590" w:rsidRDefault="00F12590" w:rsidP="002E18D9">
            <w:pPr>
              <w:pStyle w:val="NormalWeb"/>
              <w:spacing w:line="480" w:lineRule="auto"/>
              <w:textAlignment w:val="baseline"/>
              <w:rPr>
                <w:color w:val="000000"/>
              </w:rPr>
            </w:pPr>
            <w:r w:rsidRPr="00F12590">
              <w:rPr>
                <w:color w:val="000000"/>
              </w:rPr>
              <w:t xml:space="preserve">1.055459    </w:t>
            </w:r>
          </w:p>
        </w:tc>
        <w:tc>
          <w:tcPr>
            <w:tcW w:w="1870" w:type="dxa"/>
          </w:tcPr>
          <w:p w14:paraId="18699CB6" w14:textId="4D423450" w:rsidR="00F12590" w:rsidRPr="00F12590" w:rsidRDefault="00F12590" w:rsidP="002E18D9">
            <w:pPr>
              <w:pStyle w:val="NormalWeb"/>
              <w:spacing w:line="480" w:lineRule="auto"/>
              <w:textAlignment w:val="baseline"/>
              <w:rPr>
                <w:color w:val="000000"/>
              </w:rPr>
            </w:pPr>
            <w:r w:rsidRPr="00F12590">
              <w:rPr>
                <w:color w:val="000000"/>
              </w:rPr>
              <w:t>2.671293</w:t>
            </w:r>
          </w:p>
        </w:tc>
        <w:tc>
          <w:tcPr>
            <w:tcW w:w="1870" w:type="dxa"/>
          </w:tcPr>
          <w:p w14:paraId="26ADAF30" w14:textId="4F94FAE4" w:rsidR="00F12590" w:rsidRDefault="00F12590" w:rsidP="002E18D9">
            <w:pPr>
              <w:pStyle w:val="NormalWeb"/>
              <w:spacing w:line="480" w:lineRule="auto"/>
              <w:textAlignment w:val="baseline"/>
              <w:rPr>
                <w:color w:val="000000"/>
              </w:rPr>
            </w:pPr>
            <w:r>
              <w:rPr>
                <w:color w:val="000000"/>
              </w:rPr>
              <w:t>0</w:t>
            </w:r>
          </w:p>
        </w:tc>
        <w:tc>
          <w:tcPr>
            <w:tcW w:w="1870" w:type="dxa"/>
          </w:tcPr>
          <w:p w14:paraId="70267956" w14:textId="774B6E09" w:rsidR="00F12590" w:rsidRDefault="00F12590" w:rsidP="002E18D9">
            <w:pPr>
              <w:pStyle w:val="NormalWeb"/>
              <w:spacing w:line="480" w:lineRule="auto"/>
              <w:textAlignment w:val="baseline"/>
              <w:rPr>
                <w:color w:val="000000"/>
              </w:rPr>
            </w:pPr>
            <w:r>
              <w:rPr>
                <w:color w:val="000000"/>
              </w:rPr>
              <w:t>27</w:t>
            </w:r>
          </w:p>
        </w:tc>
      </w:tr>
      <w:tr w:rsidR="00F12590" w14:paraId="625F48F8" w14:textId="77777777" w:rsidTr="00F12590">
        <w:tc>
          <w:tcPr>
            <w:tcW w:w="1870" w:type="dxa"/>
          </w:tcPr>
          <w:p w14:paraId="35A9520C" w14:textId="211D6BD5" w:rsidR="00F12590" w:rsidRDefault="003B2DAC" w:rsidP="002E18D9">
            <w:pPr>
              <w:pStyle w:val="NormalWeb"/>
              <w:spacing w:line="480" w:lineRule="auto"/>
              <w:textAlignment w:val="baseline"/>
              <w:rPr>
                <w:color w:val="000000"/>
              </w:rPr>
            </w:pPr>
            <w:r>
              <w:rPr>
                <w:color w:val="000000"/>
              </w:rPr>
              <w:t>dist.</w:t>
            </w:r>
            <w:r w:rsidR="00F12590">
              <w:rPr>
                <w:color w:val="000000"/>
              </w:rPr>
              <w:t xml:space="preserve"> to market</w:t>
            </w:r>
          </w:p>
        </w:tc>
        <w:tc>
          <w:tcPr>
            <w:tcW w:w="1870" w:type="dxa"/>
          </w:tcPr>
          <w:p w14:paraId="3BBD6CE7" w14:textId="005BBB3D" w:rsidR="00F12590" w:rsidRPr="00F12590" w:rsidRDefault="00F12590" w:rsidP="002E18D9">
            <w:pPr>
              <w:pStyle w:val="NormalWeb"/>
              <w:spacing w:line="480" w:lineRule="auto"/>
              <w:textAlignment w:val="baseline"/>
              <w:rPr>
                <w:color w:val="000000"/>
              </w:rPr>
            </w:pPr>
            <w:r w:rsidRPr="00F12590">
              <w:rPr>
                <w:color w:val="000000"/>
              </w:rPr>
              <w:t xml:space="preserve">259.4139    </w:t>
            </w:r>
          </w:p>
        </w:tc>
        <w:tc>
          <w:tcPr>
            <w:tcW w:w="1870" w:type="dxa"/>
          </w:tcPr>
          <w:p w14:paraId="6D07ABE3" w14:textId="5A2AC117" w:rsidR="00F12590" w:rsidRPr="00F12590" w:rsidRDefault="00F12590" w:rsidP="002E18D9">
            <w:pPr>
              <w:pStyle w:val="NormalWeb"/>
              <w:spacing w:line="480" w:lineRule="auto"/>
              <w:textAlignment w:val="baseline"/>
              <w:rPr>
                <w:color w:val="000000"/>
              </w:rPr>
            </w:pPr>
            <w:r w:rsidRPr="00F12590">
              <w:rPr>
                <w:color w:val="000000"/>
              </w:rPr>
              <w:t>218.9914</w:t>
            </w:r>
          </w:p>
        </w:tc>
        <w:tc>
          <w:tcPr>
            <w:tcW w:w="1870" w:type="dxa"/>
          </w:tcPr>
          <w:p w14:paraId="5A5A18BA" w14:textId="5605DC27" w:rsidR="00F12590" w:rsidRDefault="00F12590" w:rsidP="002E18D9">
            <w:pPr>
              <w:pStyle w:val="NormalWeb"/>
              <w:spacing w:line="480" w:lineRule="auto"/>
              <w:textAlignment w:val="baseline"/>
              <w:rPr>
                <w:color w:val="000000"/>
              </w:rPr>
            </w:pPr>
            <w:r>
              <w:rPr>
                <w:color w:val="000000"/>
              </w:rPr>
              <w:t>3</w:t>
            </w:r>
          </w:p>
        </w:tc>
        <w:tc>
          <w:tcPr>
            <w:tcW w:w="1870" w:type="dxa"/>
          </w:tcPr>
          <w:p w14:paraId="4D737BC0" w14:textId="2BD5BEC9" w:rsidR="00F12590" w:rsidRDefault="00F12590" w:rsidP="002E18D9">
            <w:pPr>
              <w:pStyle w:val="NormalWeb"/>
              <w:spacing w:line="480" w:lineRule="auto"/>
              <w:textAlignment w:val="baseline"/>
              <w:rPr>
                <w:color w:val="000000"/>
              </w:rPr>
            </w:pPr>
            <w:r>
              <w:rPr>
                <w:color w:val="000000"/>
              </w:rPr>
              <w:t>3360</w:t>
            </w:r>
          </w:p>
        </w:tc>
      </w:tr>
      <w:tr w:rsidR="003B2DAC" w14:paraId="09F7D714" w14:textId="77777777" w:rsidTr="00F12590">
        <w:tc>
          <w:tcPr>
            <w:tcW w:w="1870" w:type="dxa"/>
          </w:tcPr>
          <w:p w14:paraId="172A882E" w14:textId="25F524EF" w:rsidR="003B2DAC" w:rsidRDefault="003B2DAC" w:rsidP="002E18D9">
            <w:pPr>
              <w:pStyle w:val="NormalWeb"/>
              <w:spacing w:line="480" w:lineRule="auto"/>
              <w:textAlignment w:val="baseline"/>
              <w:rPr>
                <w:color w:val="000000"/>
              </w:rPr>
            </w:pPr>
            <w:r>
              <w:rPr>
                <w:color w:val="000000"/>
              </w:rPr>
              <w:t>credit</w:t>
            </w:r>
          </w:p>
        </w:tc>
        <w:tc>
          <w:tcPr>
            <w:tcW w:w="1870" w:type="dxa"/>
          </w:tcPr>
          <w:p w14:paraId="55B71218" w14:textId="23F4CED3" w:rsidR="003B2DAC" w:rsidRPr="00F12590" w:rsidRDefault="003B2DAC" w:rsidP="002E18D9">
            <w:pPr>
              <w:pStyle w:val="NormalWeb"/>
              <w:spacing w:line="480" w:lineRule="auto"/>
              <w:textAlignment w:val="baseline"/>
              <w:rPr>
                <w:color w:val="000000"/>
              </w:rPr>
            </w:pPr>
            <w:r w:rsidRPr="003B2DAC">
              <w:rPr>
                <w:color w:val="000000"/>
              </w:rPr>
              <w:t xml:space="preserve">.0482759    </w:t>
            </w:r>
          </w:p>
        </w:tc>
        <w:tc>
          <w:tcPr>
            <w:tcW w:w="1870" w:type="dxa"/>
          </w:tcPr>
          <w:p w14:paraId="6B3E0433" w14:textId="01AF388B" w:rsidR="003B2DAC" w:rsidRPr="00F12590" w:rsidRDefault="003B2DAC" w:rsidP="002E18D9">
            <w:pPr>
              <w:pStyle w:val="NormalWeb"/>
              <w:spacing w:line="480" w:lineRule="auto"/>
              <w:textAlignment w:val="baseline"/>
              <w:rPr>
                <w:color w:val="000000"/>
              </w:rPr>
            </w:pPr>
            <w:r w:rsidRPr="003B2DAC">
              <w:rPr>
                <w:color w:val="000000"/>
              </w:rPr>
              <w:t>.2145336</w:t>
            </w:r>
          </w:p>
        </w:tc>
        <w:tc>
          <w:tcPr>
            <w:tcW w:w="1870" w:type="dxa"/>
          </w:tcPr>
          <w:p w14:paraId="4533FE6E" w14:textId="3A18CF57" w:rsidR="003B2DAC" w:rsidRDefault="003B2DAC" w:rsidP="002E18D9">
            <w:pPr>
              <w:pStyle w:val="NormalWeb"/>
              <w:spacing w:line="480" w:lineRule="auto"/>
              <w:textAlignment w:val="baseline"/>
              <w:rPr>
                <w:color w:val="000000"/>
              </w:rPr>
            </w:pPr>
            <w:r>
              <w:rPr>
                <w:color w:val="000000"/>
              </w:rPr>
              <w:t>0</w:t>
            </w:r>
          </w:p>
        </w:tc>
        <w:tc>
          <w:tcPr>
            <w:tcW w:w="1870" w:type="dxa"/>
          </w:tcPr>
          <w:p w14:paraId="76B49CFF" w14:textId="64D701D7" w:rsidR="003B2DAC" w:rsidRDefault="003B2DAC" w:rsidP="002E18D9">
            <w:pPr>
              <w:pStyle w:val="NormalWeb"/>
              <w:spacing w:line="480" w:lineRule="auto"/>
              <w:textAlignment w:val="baseline"/>
              <w:rPr>
                <w:color w:val="000000"/>
              </w:rPr>
            </w:pPr>
            <w:r>
              <w:rPr>
                <w:color w:val="000000"/>
              </w:rPr>
              <w:t>1</w:t>
            </w:r>
          </w:p>
        </w:tc>
      </w:tr>
    </w:tbl>
    <w:p w14:paraId="12D19412" w14:textId="43282619" w:rsidR="00F12590" w:rsidRDefault="00F12590" w:rsidP="00F12590">
      <w:pPr>
        <w:pStyle w:val="NormalWeb"/>
        <w:spacing w:line="480" w:lineRule="auto"/>
        <w:textAlignment w:val="baseline"/>
        <w:rPr>
          <w:color w:val="000000"/>
        </w:rPr>
      </w:pPr>
    </w:p>
    <w:p w14:paraId="58A58E1C" w14:textId="77777777" w:rsidR="00FE3974" w:rsidRPr="00F12590" w:rsidRDefault="00FE3974" w:rsidP="00F12590">
      <w:pPr>
        <w:pStyle w:val="NormalWeb"/>
        <w:spacing w:line="480" w:lineRule="auto"/>
        <w:textAlignment w:val="baseline"/>
        <w:rPr>
          <w:color w:val="000000"/>
        </w:rPr>
      </w:pPr>
    </w:p>
    <w:p w14:paraId="60D593B7" w14:textId="63154A28" w:rsidR="005A43F0" w:rsidRDefault="005A43F0" w:rsidP="00BB1426">
      <w:pPr>
        <w:spacing w:line="480" w:lineRule="auto"/>
        <w:jc w:val="both"/>
        <w:rPr>
          <w:rFonts w:ascii="Times New Roman" w:hAnsi="Times New Roman" w:cs="Times New Roman"/>
        </w:rPr>
      </w:pPr>
      <w:r>
        <w:rPr>
          <w:rFonts w:ascii="Times New Roman" w:hAnsi="Times New Roman" w:cs="Times New Roman"/>
        </w:rPr>
        <w:lastRenderedPageBreak/>
        <w:t xml:space="preserve">Appendix </w:t>
      </w:r>
      <w:proofErr w:type="gramStart"/>
      <w:r>
        <w:rPr>
          <w:rFonts w:ascii="Times New Roman" w:hAnsi="Times New Roman" w:cs="Times New Roman"/>
        </w:rPr>
        <w:t xml:space="preserve">2 </w:t>
      </w:r>
      <w:r w:rsidR="009E2888">
        <w:rPr>
          <w:rFonts w:ascii="Times New Roman" w:hAnsi="Times New Roman" w:cs="Times New Roman"/>
        </w:rPr>
        <w:t xml:space="preserve"> </w:t>
      </w:r>
      <w:r w:rsidR="00F12590">
        <w:rPr>
          <w:rFonts w:ascii="Times New Roman" w:hAnsi="Times New Roman" w:cs="Times New Roman"/>
        </w:rPr>
        <w:t>regression</w:t>
      </w:r>
      <w:proofErr w:type="gramEnd"/>
      <w:r w:rsidR="00F12590">
        <w:rPr>
          <w:rFonts w:ascii="Times New Roman" w:hAnsi="Times New Roman" w:cs="Times New Roman"/>
        </w:rPr>
        <w:t xml:space="preserve"> results on determinants of adoption </w:t>
      </w:r>
      <w:r w:rsidR="00C0661A">
        <w:rPr>
          <w:rFonts w:ascii="Times New Roman" w:hAnsi="Times New Roman" w:cs="Times New Roman"/>
        </w:rPr>
        <w:t xml:space="preserve">of SWC </w:t>
      </w:r>
    </w:p>
    <w:p w14:paraId="204A5A83" w14:textId="1AFD8D1A" w:rsidR="00A21159" w:rsidRDefault="00A21159" w:rsidP="00BB1426">
      <w:pPr>
        <w:spacing w:line="480" w:lineRule="auto"/>
        <w:jc w:val="both"/>
        <w:rPr>
          <w:rFonts w:ascii="Times New Roman" w:hAnsi="Times New Roman" w:cs="Times New Roman"/>
        </w:rPr>
      </w:pPr>
      <w:r w:rsidRPr="00A21159">
        <w:rPr>
          <w:rFonts w:ascii="Times New Roman" w:hAnsi="Times New Roman" w:cs="Times New Roman"/>
        </w:rPr>
        <w:t xml:space="preserve">LR chi2(12)   </w:t>
      </w:r>
      <w:proofErr w:type="gramStart"/>
      <w:r w:rsidRPr="00A21159">
        <w:rPr>
          <w:rFonts w:ascii="Times New Roman" w:hAnsi="Times New Roman" w:cs="Times New Roman"/>
        </w:rPr>
        <w:t>=  94.22</w:t>
      </w:r>
      <w:proofErr w:type="gramEnd"/>
    </w:p>
    <w:p w14:paraId="2733695E" w14:textId="4C59E226" w:rsidR="00A21159" w:rsidRDefault="00A21159" w:rsidP="00BB1426">
      <w:pPr>
        <w:spacing w:line="480" w:lineRule="auto"/>
        <w:jc w:val="both"/>
        <w:rPr>
          <w:rFonts w:ascii="Times New Roman" w:hAnsi="Times New Roman" w:cs="Times New Roman"/>
        </w:rPr>
      </w:pPr>
      <w:r w:rsidRPr="00A21159">
        <w:rPr>
          <w:rFonts w:ascii="Times New Roman" w:hAnsi="Times New Roman" w:cs="Times New Roman"/>
        </w:rPr>
        <w:t>Prob &gt; chi2   = 0.0000</w:t>
      </w:r>
    </w:p>
    <w:p w14:paraId="4115D050" w14:textId="5895B066" w:rsidR="006F4618" w:rsidRDefault="006F4618" w:rsidP="006F4618">
      <w:pPr>
        <w:spacing w:line="360" w:lineRule="auto"/>
        <w:jc w:val="both"/>
        <w:rPr>
          <w:rFonts w:ascii="Times New Roman" w:hAnsi="Times New Roman" w:cs="Times New Roman"/>
        </w:rPr>
      </w:pPr>
      <w:r>
        <w:rPr>
          <w:rFonts w:ascii="Times New Roman" w:hAnsi="Times New Roman" w:cs="Times New Roman"/>
        </w:rPr>
        <w:t xml:space="preserve">Table </w:t>
      </w:r>
      <w:r w:rsidR="00C14E38">
        <w:rPr>
          <w:rFonts w:ascii="Times New Roman" w:hAnsi="Times New Roman" w:cs="Times New Roman"/>
        </w:rPr>
        <w:t>3</w:t>
      </w:r>
      <w:r>
        <w:rPr>
          <w:rFonts w:ascii="Times New Roman" w:hAnsi="Times New Roman" w:cs="Times New Roman"/>
        </w:rPr>
        <w:t>. marginal effects of variables with associated significance</w:t>
      </w:r>
    </w:p>
    <w:tbl>
      <w:tblPr>
        <w:tblStyle w:val="TableGrid"/>
        <w:tblW w:w="0" w:type="auto"/>
        <w:tblLook w:val="04A0" w:firstRow="1" w:lastRow="0" w:firstColumn="1" w:lastColumn="0" w:noHBand="0" w:noVBand="1"/>
      </w:tblPr>
      <w:tblGrid>
        <w:gridCol w:w="2337"/>
        <w:gridCol w:w="2337"/>
        <w:gridCol w:w="2338"/>
        <w:gridCol w:w="2338"/>
      </w:tblGrid>
      <w:tr w:rsidR="00C0661A" w14:paraId="061A14F7" w14:textId="77777777" w:rsidTr="00C0661A">
        <w:tc>
          <w:tcPr>
            <w:tcW w:w="2337" w:type="dxa"/>
          </w:tcPr>
          <w:p w14:paraId="1723A95B" w14:textId="52513C76" w:rsidR="00C0661A" w:rsidRDefault="00C0661A" w:rsidP="00BB1426">
            <w:pPr>
              <w:spacing w:line="480" w:lineRule="auto"/>
              <w:jc w:val="both"/>
              <w:rPr>
                <w:rFonts w:ascii="Times New Roman" w:hAnsi="Times New Roman" w:cs="Times New Roman"/>
              </w:rPr>
            </w:pPr>
            <w:r>
              <w:rPr>
                <w:rFonts w:ascii="Times New Roman" w:hAnsi="Times New Roman" w:cs="Times New Roman"/>
              </w:rPr>
              <w:t xml:space="preserve">Variable </w:t>
            </w:r>
          </w:p>
        </w:tc>
        <w:tc>
          <w:tcPr>
            <w:tcW w:w="2337" w:type="dxa"/>
          </w:tcPr>
          <w:p w14:paraId="4E24B876" w14:textId="52422CA9" w:rsidR="00C0661A" w:rsidRDefault="00C0661A" w:rsidP="00BB1426">
            <w:pPr>
              <w:spacing w:line="480" w:lineRule="auto"/>
              <w:jc w:val="both"/>
              <w:rPr>
                <w:rFonts w:ascii="Times New Roman" w:hAnsi="Times New Roman" w:cs="Times New Roman"/>
              </w:rPr>
            </w:pPr>
            <w:proofErr w:type="spellStart"/>
            <w:r>
              <w:rPr>
                <w:rFonts w:ascii="Times New Roman" w:hAnsi="Times New Roman" w:cs="Times New Roman"/>
              </w:rPr>
              <w:t>dy</w:t>
            </w:r>
            <w:proofErr w:type="spellEnd"/>
            <w:r>
              <w:rPr>
                <w:rFonts w:ascii="Times New Roman" w:hAnsi="Times New Roman" w:cs="Times New Roman"/>
              </w:rPr>
              <w:t>/dx</w:t>
            </w:r>
          </w:p>
        </w:tc>
        <w:tc>
          <w:tcPr>
            <w:tcW w:w="2338" w:type="dxa"/>
          </w:tcPr>
          <w:p w14:paraId="71C56DBE" w14:textId="2C0CDB7E" w:rsidR="00C0661A" w:rsidRDefault="00C0661A" w:rsidP="00BB1426">
            <w:pPr>
              <w:spacing w:line="480" w:lineRule="auto"/>
              <w:jc w:val="both"/>
              <w:rPr>
                <w:rFonts w:ascii="Times New Roman" w:hAnsi="Times New Roman" w:cs="Times New Roman"/>
              </w:rPr>
            </w:pPr>
            <w:proofErr w:type="spellStart"/>
            <w:proofErr w:type="gramStart"/>
            <w:r>
              <w:rPr>
                <w:rFonts w:ascii="Times New Roman" w:hAnsi="Times New Roman" w:cs="Times New Roman"/>
              </w:rPr>
              <w:t>std.error</w:t>
            </w:r>
            <w:proofErr w:type="spellEnd"/>
            <w:proofErr w:type="gramEnd"/>
          </w:p>
        </w:tc>
        <w:tc>
          <w:tcPr>
            <w:tcW w:w="2338" w:type="dxa"/>
          </w:tcPr>
          <w:p w14:paraId="3E0FFAEC" w14:textId="3596BF4D" w:rsidR="00C0661A" w:rsidRDefault="00C0661A" w:rsidP="00BB1426">
            <w:pPr>
              <w:spacing w:line="480" w:lineRule="auto"/>
              <w:jc w:val="both"/>
              <w:rPr>
                <w:rFonts w:ascii="Times New Roman" w:hAnsi="Times New Roman" w:cs="Times New Roman"/>
              </w:rPr>
            </w:pPr>
            <w:r>
              <w:rPr>
                <w:rFonts w:ascii="Times New Roman" w:hAnsi="Times New Roman" w:cs="Times New Roman"/>
              </w:rPr>
              <w:t>P&gt;|z|</w:t>
            </w:r>
          </w:p>
        </w:tc>
      </w:tr>
      <w:tr w:rsidR="00C0661A" w14:paraId="74207FDF" w14:textId="77777777" w:rsidTr="00C0661A">
        <w:tc>
          <w:tcPr>
            <w:tcW w:w="2337" w:type="dxa"/>
          </w:tcPr>
          <w:p w14:paraId="31A30A6B" w14:textId="19E9796D" w:rsidR="00C0661A" w:rsidRDefault="00C0661A" w:rsidP="00BB1426">
            <w:pPr>
              <w:spacing w:line="480" w:lineRule="auto"/>
              <w:jc w:val="both"/>
              <w:rPr>
                <w:rFonts w:ascii="Times New Roman" w:hAnsi="Times New Roman" w:cs="Times New Roman"/>
              </w:rPr>
            </w:pPr>
            <w:proofErr w:type="spellStart"/>
            <w:r>
              <w:rPr>
                <w:rFonts w:ascii="Times New Roman" w:hAnsi="Times New Roman" w:cs="Times New Roman"/>
              </w:rPr>
              <w:t>age</w:t>
            </w:r>
            <w:r w:rsidR="003B2DAC">
              <w:rPr>
                <w:rFonts w:ascii="Times New Roman" w:hAnsi="Times New Roman" w:cs="Times New Roman"/>
              </w:rPr>
              <w:t>h</w:t>
            </w:r>
            <w:proofErr w:type="spellEnd"/>
          </w:p>
        </w:tc>
        <w:tc>
          <w:tcPr>
            <w:tcW w:w="2337" w:type="dxa"/>
          </w:tcPr>
          <w:p w14:paraId="56D377AC" w14:textId="287E335E"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.000157   </w:t>
            </w:r>
          </w:p>
        </w:tc>
        <w:tc>
          <w:tcPr>
            <w:tcW w:w="2338" w:type="dxa"/>
          </w:tcPr>
          <w:p w14:paraId="09A2E24C" w14:textId="2262AB43"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.0012193     </w:t>
            </w:r>
          </w:p>
        </w:tc>
        <w:tc>
          <w:tcPr>
            <w:tcW w:w="2338" w:type="dxa"/>
          </w:tcPr>
          <w:p w14:paraId="48D024CC" w14:textId="0BCE1E3F"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0.898</w:t>
            </w:r>
          </w:p>
        </w:tc>
      </w:tr>
      <w:tr w:rsidR="00C0661A" w14:paraId="2278EA45" w14:textId="77777777" w:rsidTr="00C0661A">
        <w:tc>
          <w:tcPr>
            <w:tcW w:w="2337" w:type="dxa"/>
          </w:tcPr>
          <w:p w14:paraId="1DD67F15" w14:textId="43547C87" w:rsidR="00C0661A" w:rsidRDefault="00C0661A" w:rsidP="00BB1426">
            <w:pPr>
              <w:spacing w:line="480" w:lineRule="auto"/>
              <w:jc w:val="both"/>
              <w:rPr>
                <w:rFonts w:ascii="Times New Roman" w:hAnsi="Times New Roman" w:cs="Times New Roman"/>
              </w:rPr>
            </w:pPr>
            <w:proofErr w:type="spellStart"/>
            <w:r>
              <w:rPr>
                <w:rFonts w:ascii="Times New Roman" w:hAnsi="Times New Roman" w:cs="Times New Roman"/>
              </w:rPr>
              <w:t>sex</w:t>
            </w:r>
            <w:r w:rsidR="003B2DAC">
              <w:rPr>
                <w:rFonts w:ascii="Times New Roman" w:hAnsi="Times New Roman" w:cs="Times New Roman"/>
              </w:rPr>
              <w:t>hh</w:t>
            </w:r>
            <w:proofErr w:type="spellEnd"/>
          </w:p>
        </w:tc>
        <w:tc>
          <w:tcPr>
            <w:tcW w:w="2337" w:type="dxa"/>
          </w:tcPr>
          <w:p w14:paraId="48D5FFDA" w14:textId="491FE8B2"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-.0808719   </w:t>
            </w:r>
          </w:p>
        </w:tc>
        <w:tc>
          <w:tcPr>
            <w:tcW w:w="2338" w:type="dxa"/>
          </w:tcPr>
          <w:p w14:paraId="54C52303" w14:textId="2EAE257E"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.0356798    </w:t>
            </w:r>
          </w:p>
        </w:tc>
        <w:tc>
          <w:tcPr>
            <w:tcW w:w="2338" w:type="dxa"/>
          </w:tcPr>
          <w:p w14:paraId="29DD1B9C" w14:textId="21A7E941"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0.023</w:t>
            </w:r>
            <w:r>
              <w:rPr>
                <w:rFonts w:ascii="Times New Roman" w:hAnsi="Times New Roman" w:cs="Times New Roman"/>
              </w:rPr>
              <w:t>*</w:t>
            </w:r>
          </w:p>
        </w:tc>
      </w:tr>
      <w:tr w:rsidR="00C0661A" w14:paraId="75DCFB4B" w14:textId="77777777" w:rsidTr="00C0661A">
        <w:tc>
          <w:tcPr>
            <w:tcW w:w="2337" w:type="dxa"/>
          </w:tcPr>
          <w:p w14:paraId="13C00E32" w14:textId="21FD9967" w:rsidR="00C0661A" w:rsidRDefault="00C0661A" w:rsidP="00BB1426">
            <w:pPr>
              <w:spacing w:line="480" w:lineRule="auto"/>
              <w:jc w:val="both"/>
              <w:rPr>
                <w:rFonts w:ascii="Times New Roman" w:hAnsi="Times New Roman" w:cs="Times New Roman"/>
              </w:rPr>
            </w:pPr>
            <w:proofErr w:type="spellStart"/>
            <w:r>
              <w:rPr>
                <w:rFonts w:ascii="Times New Roman" w:hAnsi="Times New Roman" w:cs="Times New Roman"/>
              </w:rPr>
              <w:t>education</w:t>
            </w:r>
            <w:r w:rsidR="003B2DAC">
              <w:rPr>
                <w:rFonts w:ascii="Times New Roman" w:hAnsi="Times New Roman" w:cs="Times New Roman"/>
              </w:rPr>
              <w:t>hh</w:t>
            </w:r>
            <w:proofErr w:type="spellEnd"/>
          </w:p>
        </w:tc>
        <w:tc>
          <w:tcPr>
            <w:tcW w:w="2337" w:type="dxa"/>
          </w:tcPr>
          <w:p w14:paraId="49ED3F53" w14:textId="46CE2555"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.008199   </w:t>
            </w:r>
          </w:p>
        </w:tc>
        <w:tc>
          <w:tcPr>
            <w:tcW w:w="2338" w:type="dxa"/>
          </w:tcPr>
          <w:p w14:paraId="2DA31E9B" w14:textId="36F06C99" w:rsidR="00C0661A" w:rsidRDefault="002D438D" w:rsidP="00BB1426">
            <w:pPr>
              <w:spacing w:line="480" w:lineRule="auto"/>
              <w:jc w:val="both"/>
              <w:rPr>
                <w:rFonts w:ascii="Times New Roman" w:hAnsi="Times New Roman" w:cs="Times New Roman"/>
              </w:rPr>
            </w:pPr>
            <w:r>
              <w:rPr>
                <w:rFonts w:ascii="Times New Roman" w:hAnsi="Times New Roman" w:cs="Times New Roman"/>
              </w:rPr>
              <w:t>.</w:t>
            </w:r>
            <w:r w:rsidRPr="002D438D">
              <w:rPr>
                <w:rFonts w:ascii="Times New Roman" w:hAnsi="Times New Roman" w:cs="Times New Roman"/>
              </w:rPr>
              <w:t xml:space="preserve">0056387     </w:t>
            </w:r>
          </w:p>
        </w:tc>
        <w:tc>
          <w:tcPr>
            <w:tcW w:w="2338" w:type="dxa"/>
          </w:tcPr>
          <w:p w14:paraId="65D9F6C6" w14:textId="6D7AF8CE"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0.146</w:t>
            </w:r>
          </w:p>
        </w:tc>
      </w:tr>
      <w:tr w:rsidR="00C0661A" w14:paraId="54738F01" w14:textId="77777777" w:rsidTr="00C0661A">
        <w:tc>
          <w:tcPr>
            <w:tcW w:w="2337" w:type="dxa"/>
          </w:tcPr>
          <w:p w14:paraId="39A165A1" w14:textId="4F6CB3D6" w:rsidR="00C0661A" w:rsidRDefault="00C0661A" w:rsidP="00BB1426">
            <w:pPr>
              <w:spacing w:line="480" w:lineRule="auto"/>
              <w:jc w:val="both"/>
              <w:rPr>
                <w:rFonts w:ascii="Times New Roman" w:hAnsi="Times New Roman" w:cs="Times New Roman"/>
              </w:rPr>
            </w:pPr>
            <w:r>
              <w:rPr>
                <w:rFonts w:ascii="Times New Roman" w:hAnsi="Times New Roman" w:cs="Times New Roman"/>
              </w:rPr>
              <w:t xml:space="preserve">household size </w:t>
            </w:r>
          </w:p>
        </w:tc>
        <w:tc>
          <w:tcPr>
            <w:tcW w:w="2337" w:type="dxa"/>
          </w:tcPr>
          <w:p w14:paraId="7FC4B537" w14:textId="56EBDB89"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.025624    </w:t>
            </w:r>
          </w:p>
        </w:tc>
        <w:tc>
          <w:tcPr>
            <w:tcW w:w="2338" w:type="dxa"/>
          </w:tcPr>
          <w:p w14:paraId="3868F61E" w14:textId="7D55383A" w:rsidR="00C0661A" w:rsidRDefault="002D438D" w:rsidP="00BB1426">
            <w:pPr>
              <w:spacing w:line="480" w:lineRule="auto"/>
              <w:jc w:val="both"/>
              <w:rPr>
                <w:rFonts w:ascii="Times New Roman" w:hAnsi="Times New Roman" w:cs="Times New Roman"/>
              </w:rPr>
            </w:pPr>
            <w:r>
              <w:rPr>
                <w:rFonts w:ascii="Times New Roman" w:hAnsi="Times New Roman" w:cs="Times New Roman"/>
              </w:rPr>
              <w:t>.</w:t>
            </w:r>
            <w:r w:rsidRPr="002D438D">
              <w:rPr>
                <w:rFonts w:ascii="Times New Roman" w:hAnsi="Times New Roman" w:cs="Times New Roman"/>
              </w:rPr>
              <w:t xml:space="preserve">0428019     </w:t>
            </w:r>
          </w:p>
        </w:tc>
        <w:tc>
          <w:tcPr>
            <w:tcW w:w="2338" w:type="dxa"/>
          </w:tcPr>
          <w:p w14:paraId="2DB6AF65" w14:textId="31520225"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0.549</w:t>
            </w:r>
          </w:p>
        </w:tc>
      </w:tr>
      <w:tr w:rsidR="00C0661A" w14:paraId="0563E192" w14:textId="77777777" w:rsidTr="00C0661A">
        <w:tc>
          <w:tcPr>
            <w:tcW w:w="2337" w:type="dxa"/>
          </w:tcPr>
          <w:p w14:paraId="704206FB" w14:textId="403A70BE" w:rsidR="00C0661A" w:rsidRDefault="00C0661A" w:rsidP="00BB1426">
            <w:pPr>
              <w:spacing w:line="480" w:lineRule="auto"/>
              <w:jc w:val="both"/>
              <w:rPr>
                <w:rFonts w:ascii="Times New Roman" w:hAnsi="Times New Roman" w:cs="Times New Roman"/>
              </w:rPr>
            </w:pPr>
            <w:proofErr w:type="spellStart"/>
            <w:r>
              <w:rPr>
                <w:rFonts w:ascii="Times New Roman" w:hAnsi="Times New Roman" w:cs="Times New Roman"/>
              </w:rPr>
              <w:t>farmsize</w:t>
            </w:r>
            <w:proofErr w:type="spellEnd"/>
          </w:p>
        </w:tc>
        <w:tc>
          <w:tcPr>
            <w:tcW w:w="2337" w:type="dxa"/>
          </w:tcPr>
          <w:p w14:paraId="3012C16C" w14:textId="7BF1B952"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-.0102074   </w:t>
            </w:r>
          </w:p>
        </w:tc>
        <w:tc>
          <w:tcPr>
            <w:tcW w:w="2338" w:type="dxa"/>
          </w:tcPr>
          <w:p w14:paraId="5A9317D6" w14:textId="038667F9"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.0052261    </w:t>
            </w:r>
          </w:p>
        </w:tc>
        <w:tc>
          <w:tcPr>
            <w:tcW w:w="2338" w:type="dxa"/>
          </w:tcPr>
          <w:p w14:paraId="58065125" w14:textId="035F69CA"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0.051</w:t>
            </w:r>
          </w:p>
        </w:tc>
      </w:tr>
      <w:tr w:rsidR="00C0661A" w14:paraId="358A8614" w14:textId="77777777" w:rsidTr="00C0661A">
        <w:tc>
          <w:tcPr>
            <w:tcW w:w="2337" w:type="dxa"/>
          </w:tcPr>
          <w:p w14:paraId="473AED1B" w14:textId="3596F465" w:rsidR="00C0661A" w:rsidRDefault="00C0661A" w:rsidP="00BB1426">
            <w:pPr>
              <w:spacing w:line="480" w:lineRule="auto"/>
              <w:jc w:val="both"/>
              <w:rPr>
                <w:rFonts w:ascii="Times New Roman" w:hAnsi="Times New Roman" w:cs="Times New Roman"/>
              </w:rPr>
            </w:pPr>
            <w:proofErr w:type="spellStart"/>
            <w:r>
              <w:rPr>
                <w:rFonts w:ascii="Times New Roman" w:hAnsi="Times New Roman" w:cs="Times New Roman"/>
              </w:rPr>
              <w:t>tlu</w:t>
            </w:r>
            <w:proofErr w:type="spellEnd"/>
          </w:p>
        </w:tc>
        <w:tc>
          <w:tcPr>
            <w:tcW w:w="2337" w:type="dxa"/>
          </w:tcPr>
          <w:p w14:paraId="3AA70504" w14:textId="59390D97"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.0055714   </w:t>
            </w:r>
          </w:p>
        </w:tc>
        <w:tc>
          <w:tcPr>
            <w:tcW w:w="2338" w:type="dxa"/>
          </w:tcPr>
          <w:p w14:paraId="34784CFC" w14:textId="4F89C7E3"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.0058134     </w:t>
            </w:r>
          </w:p>
        </w:tc>
        <w:tc>
          <w:tcPr>
            <w:tcW w:w="2338" w:type="dxa"/>
          </w:tcPr>
          <w:p w14:paraId="062E33EC" w14:textId="7CCB2CCC"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0.338</w:t>
            </w:r>
          </w:p>
        </w:tc>
      </w:tr>
      <w:tr w:rsidR="00C0661A" w14:paraId="5E7BD5E2" w14:textId="77777777" w:rsidTr="00C0661A">
        <w:tc>
          <w:tcPr>
            <w:tcW w:w="2337" w:type="dxa"/>
          </w:tcPr>
          <w:p w14:paraId="707B47A3" w14:textId="6396A0BC" w:rsidR="00C0661A" w:rsidRDefault="00C0661A" w:rsidP="00BB1426">
            <w:pPr>
              <w:spacing w:line="480" w:lineRule="auto"/>
              <w:jc w:val="both"/>
              <w:rPr>
                <w:rFonts w:ascii="Times New Roman" w:hAnsi="Times New Roman" w:cs="Times New Roman"/>
              </w:rPr>
            </w:pPr>
            <w:r>
              <w:rPr>
                <w:rFonts w:ascii="Times New Roman" w:hAnsi="Times New Roman" w:cs="Times New Roman"/>
              </w:rPr>
              <w:t>dist. to market</w:t>
            </w:r>
          </w:p>
        </w:tc>
        <w:tc>
          <w:tcPr>
            <w:tcW w:w="2337" w:type="dxa"/>
          </w:tcPr>
          <w:p w14:paraId="44782024" w14:textId="72855088"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-.0000477   </w:t>
            </w:r>
          </w:p>
        </w:tc>
        <w:tc>
          <w:tcPr>
            <w:tcW w:w="2338" w:type="dxa"/>
          </w:tcPr>
          <w:p w14:paraId="4F75DC85" w14:textId="2CED3429"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.0001052    </w:t>
            </w:r>
          </w:p>
        </w:tc>
        <w:tc>
          <w:tcPr>
            <w:tcW w:w="2338" w:type="dxa"/>
          </w:tcPr>
          <w:p w14:paraId="7799B32E" w14:textId="7F6F726E"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0.650</w:t>
            </w:r>
          </w:p>
        </w:tc>
      </w:tr>
      <w:tr w:rsidR="00C0661A" w14:paraId="015AFF96" w14:textId="77777777" w:rsidTr="00C0661A">
        <w:tc>
          <w:tcPr>
            <w:tcW w:w="2337" w:type="dxa"/>
          </w:tcPr>
          <w:p w14:paraId="4505C768" w14:textId="66BF9733" w:rsidR="00C0661A" w:rsidRDefault="00C0661A" w:rsidP="00BB1426">
            <w:pPr>
              <w:spacing w:line="480" w:lineRule="auto"/>
              <w:jc w:val="both"/>
              <w:rPr>
                <w:rFonts w:ascii="Times New Roman" w:hAnsi="Times New Roman" w:cs="Times New Roman"/>
              </w:rPr>
            </w:pPr>
            <w:r>
              <w:rPr>
                <w:rFonts w:ascii="Times New Roman" w:hAnsi="Times New Roman" w:cs="Times New Roman"/>
              </w:rPr>
              <w:t>credit</w:t>
            </w:r>
          </w:p>
        </w:tc>
        <w:tc>
          <w:tcPr>
            <w:tcW w:w="2337" w:type="dxa"/>
          </w:tcPr>
          <w:p w14:paraId="09BFB741" w14:textId="192103AA"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.0539978   </w:t>
            </w:r>
          </w:p>
        </w:tc>
        <w:tc>
          <w:tcPr>
            <w:tcW w:w="2338" w:type="dxa"/>
          </w:tcPr>
          <w:p w14:paraId="1AE5DD41" w14:textId="04D72BA3"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.0627938     </w:t>
            </w:r>
          </w:p>
        </w:tc>
        <w:tc>
          <w:tcPr>
            <w:tcW w:w="2338" w:type="dxa"/>
          </w:tcPr>
          <w:p w14:paraId="7F65D9A1" w14:textId="22964A15"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0.390</w:t>
            </w:r>
          </w:p>
        </w:tc>
      </w:tr>
      <w:tr w:rsidR="00C0661A" w14:paraId="7F04AC3F" w14:textId="77777777" w:rsidTr="00C0661A">
        <w:tc>
          <w:tcPr>
            <w:tcW w:w="2337" w:type="dxa"/>
          </w:tcPr>
          <w:p w14:paraId="54E13B24" w14:textId="555698EF" w:rsidR="00C0661A" w:rsidRDefault="00C0661A" w:rsidP="00BB1426">
            <w:pPr>
              <w:spacing w:line="480" w:lineRule="auto"/>
              <w:jc w:val="both"/>
              <w:rPr>
                <w:rFonts w:ascii="Times New Roman" w:hAnsi="Times New Roman" w:cs="Times New Roman"/>
              </w:rPr>
            </w:pPr>
            <w:r>
              <w:rPr>
                <w:rFonts w:ascii="Times New Roman" w:hAnsi="Times New Roman" w:cs="Times New Roman"/>
              </w:rPr>
              <w:t xml:space="preserve">climate </w:t>
            </w:r>
            <w:proofErr w:type="spellStart"/>
            <w:r>
              <w:rPr>
                <w:rFonts w:ascii="Times New Roman" w:hAnsi="Times New Roman" w:cs="Times New Roman"/>
              </w:rPr>
              <w:t>infor</w:t>
            </w:r>
            <w:proofErr w:type="spellEnd"/>
          </w:p>
        </w:tc>
        <w:tc>
          <w:tcPr>
            <w:tcW w:w="2337" w:type="dxa"/>
          </w:tcPr>
          <w:p w14:paraId="5FA6B4F5" w14:textId="7F969090"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.1128574   </w:t>
            </w:r>
          </w:p>
        </w:tc>
        <w:tc>
          <w:tcPr>
            <w:tcW w:w="2338" w:type="dxa"/>
          </w:tcPr>
          <w:p w14:paraId="197915E4" w14:textId="2EB9D1B3"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.0386431     </w:t>
            </w:r>
          </w:p>
        </w:tc>
        <w:tc>
          <w:tcPr>
            <w:tcW w:w="2338" w:type="dxa"/>
          </w:tcPr>
          <w:p w14:paraId="55497B1B" w14:textId="495B9AD4"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0.003</w:t>
            </w:r>
            <w:r>
              <w:rPr>
                <w:rFonts w:ascii="Times New Roman" w:hAnsi="Times New Roman" w:cs="Times New Roman"/>
              </w:rPr>
              <w:t>**</w:t>
            </w:r>
          </w:p>
        </w:tc>
      </w:tr>
      <w:tr w:rsidR="00C0661A" w14:paraId="26D88090" w14:textId="77777777" w:rsidTr="00C0661A">
        <w:tc>
          <w:tcPr>
            <w:tcW w:w="2337" w:type="dxa"/>
          </w:tcPr>
          <w:p w14:paraId="07FE884F" w14:textId="6E2B0EF7" w:rsidR="00C0661A" w:rsidRDefault="00C0661A" w:rsidP="00BB1426">
            <w:pPr>
              <w:spacing w:line="480" w:lineRule="auto"/>
              <w:jc w:val="both"/>
              <w:rPr>
                <w:rFonts w:ascii="Times New Roman" w:hAnsi="Times New Roman" w:cs="Times New Roman"/>
              </w:rPr>
            </w:pPr>
            <w:r>
              <w:rPr>
                <w:rFonts w:ascii="Times New Roman" w:hAnsi="Times New Roman" w:cs="Times New Roman"/>
              </w:rPr>
              <w:t>neighbor adopter</w:t>
            </w:r>
          </w:p>
        </w:tc>
        <w:tc>
          <w:tcPr>
            <w:tcW w:w="2337" w:type="dxa"/>
          </w:tcPr>
          <w:p w14:paraId="4AC004AF" w14:textId="06556F6E"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.1557424    </w:t>
            </w:r>
          </w:p>
        </w:tc>
        <w:tc>
          <w:tcPr>
            <w:tcW w:w="2338" w:type="dxa"/>
          </w:tcPr>
          <w:p w14:paraId="43807A13" w14:textId="61150A15"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.0606898     </w:t>
            </w:r>
          </w:p>
        </w:tc>
        <w:tc>
          <w:tcPr>
            <w:tcW w:w="2338" w:type="dxa"/>
          </w:tcPr>
          <w:p w14:paraId="32D81633" w14:textId="3B5D0AE7"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0.010</w:t>
            </w:r>
            <w:r>
              <w:rPr>
                <w:rFonts w:ascii="Times New Roman" w:hAnsi="Times New Roman" w:cs="Times New Roman"/>
              </w:rPr>
              <w:t>**</w:t>
            </w:r>
          </w:p>
        </w:tc>
      </w:tr>
      <w:tr w:rsidR="00C0661A" w14:paraId="706A7AB8" w14:textId="77777777" w:rsidTr="00C0661A">
        <w:tc>
          <w:tcPr>
            <w:tcW w:w="2337" w:type="dxa"/>
          </w:tcPr>
          <w:p w14:paraId="2DB5B6F4" w14:textId="25442029" w:rsidR="00C0661A" w:rsidRDefault="002D438D" w:rsidP="00BB1426">
            <w:pPr>
              <w:spacing w:line="480" w:lineRule="auto"/>
              <w:jc w:val="both"/>
              <w:rPr>
                <w:rFonts w:ascii="Times New Roman" w:hAnsi="Times New Roman" w:cs="Times New Roman"/>
              </w:rPr>
            </w:pPr>
            <w:r>
              <w:rPr>
                <w:rFonts w:ascii="Times New Roman" w:hAnsi="Times New Roman" w:cs="Times New Roman"/>
              </w:rPr>
              <w:t>member</w:t>
            </w:r>
          </w:p>
        </w:tc>
        <w:tc>
          <w:tcPr>
            <w:tcW w:w="2337" w:type="dxa"/>
          </w:tcPr>
          <w:p w14:paraId="2F387B72" w14:textId="16EAAFC9"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.2146778   </w:t>
            </w:r>
          </w:p>
        </w:tc>
        <w:tc>
          <w:tcPr>
            <w:tcW w:w="2338" w:type="dxa"/>
          </w:tcPr>
          <w:p w14:paraId="24E47EDC" w14:textId="1B209C17"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 xml:space="preserve">.0292321     </w:t>
            </w:r>
          </w:p>
        </w:tc>
        <w:tc>
          <w:tcPr>
            <w:tcW w:w="2338" w:type="dxa"/>
          </w:tcPr>
          <w:p w14:paraId="6CE38B78" w14:textId="576D8C29" w:rsidR="00C0661A" w:rsidRDefault="002D438D" w:rsidP="00BB1426">
            <w:pPr>
              <w:spacing w:line="480" w:lineRule="auto"/>
              <w:jc w:val="both"/>
              <w:rPr>
                <w:rFonts w:ascii="Times New Roman" w:hAnsi="Times New Roman" w:cs="Times New Roman"/>
              </w:rPr>
            </w:pPr>
            <w:r w:rsidRPr="002D438D">
              <w:rPr>
                <w:rFonts w:ascii="Times New Roman" w:hAnsi="Times New Roman" w:cs="Times New Roman"/>
              </w:rPr>
              <w:t>0.000</w:t>
            </w:r>
            <w:r>
              <w:rPr>
                <w:rFonts w:ascii="Times New Roman" w:hAnsi="Times New Roman" w:cs="Times New Roman"/>
              </w:rPr>
              <w:t>**</w:t>
            </w:r>
          </w:p>
        </w:tc>
      </w:tr>
    </w:tbl>
    <w:p w14:paraId="7B1109FE" w14:textId="373BFF67" w:rsidR="00C0661A" w:rsidRPr="002D438D" w:rsidRDefault="002D438D" w:rsidP="002D438D">
      <w:pPr>
        <w:spacing w:line="480" w:lineRule="auto"/>
        <w:jc w:val="both"/>
        <w:rPr>
          <w:rFonts w:ascii="Times New Roman" w:hAnsi="Times New Roman" w:cs="Times New Roman"/>
          <w:sz w:val="18"/>
          <w:szCs w:val="18"/>
        </w:rPr>
      </w:pPr>
      <w:r w:rsidRPr="002D438D">
        <w:rPr>
          <w:rFonts w:ascii="Times New Roman" w:hAnsi="Times New Roman" w:cs="Times New Roman"/>
          <w:sz w:val="18"/>
          <w:szCs w:val="18"/>
        </w:rPr>
        <w:t>*</w:t>
      </w:r>
      <w:proofErr w:type="gramStart"/>
      <w:r w:rsidRPr="002D438D">
        <w:rPr>
          <w:rFonts w:ascii="Times New Roman" w:hAnsi="Times New Roman" w:cs="Times New Roman"/>
          <w:sz w:val="18"/>
          <w:szCs w:val="18"/>
        </w:rPr>
        <w:t>indicates</w:t>
      </w:r>
      <w:proofErr w:type="gramEnd"/>
      <w:r w:rsidRPr="002D438D">
        <w:rPr>
          <w:rFonts w:ascii="Times New Roman" w:hAnsi="Times New Roman" w:cs="Times New Roman"/>
          <w:sz w:val="18"/>
          <w:szCs w:val="18"/>
        </w:rPr>
        <w:t xml:space="preserve"> that the variable is significant at 5 percent level, ** indicates that the variable is significant at 1 percent level </w:t>
      </w:r>
    </w:p>
    <w:sectPr w:rsidR="00C0661A" w:rsidRPr="002D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7F57"/>
    <w:multiLevelType w:val="hybridMultilevel"/>
    <w:tmpl w:val="55AAE9E0"/>
    <w:lvl w:ilvl="0" w:tplc="B2F27F4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14D66"/>
    <w:multiLevelType w:val="hybridMultilevel"/>
    <w:tmpl w:val="44DC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407"/>
    <w:multiLevelType w:val="hybridMultilevel"/>
    <w:tmpl w:val="DEFADCA4"/>
    <w:lvl w:ilvl="0" w:tplc="7D3E3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2D6"/>
    <w:multiLevelType w:val="hybridMultilevel"/>
    <w:tmpl w:val="C2141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85DB8"/>
    <w:multiLevelType w:val="multilevel"/>
    <w:tmpl w:val="586C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F51D2"/>
    <w:multiLevelType w:val="hybridMultilevel"/>
    <w:tmpl w:val="3AD8EC68"/>
    <w:lvl w:ilvl="0" w:tplc="D7323860">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84708"/>
    <w:multiLevelType w:val="hybridMultilevel"/>
    <w:tmpl w:val="E2BCFDA4"/>
    <w:lvl w:ilvl="0" w:tplc="60AC37B8">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47DFA"/>
    <w:multiLevelType w:val="hybridMultilevel"/>
    <w:tmpl w:val="67D01C1A"/>
    <w:lvl w:ilvl="0" w:tplc="D716FB26">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125771">
    <w:abstractNumId w:val="3"/>
  </w:num>
  <w:num w:numId="2" w16cid:durableId="1792821406">
    <w:abstractNumId w:val="1"/>
  </w:num>
  <w:num w:numId="3" w16cid:durableId="2128810046">
    <w:abstractNumId w:val="2"/>
  </w:num>
  <w:num w:numId="4" w16cid:durableId="315039297">
    <w:abstractNumId w:val="4"/>
  </w:num>
  <w:num w:numId="5" w16cid:durableId="1534152104">
    <w:abstractNumId w:val="0"/>
  </w:num>
  <w:num w:numId="6" w16cid:durableId="868252911">
    <w:abstractNumId w:val="6"/>
  </w:num>
  <w:num w:numId="7" w16cid:durableId="170225403">
    <w:abstractNumId w:val="5"/>
  </w:num>
  <w:num w:numId="8" w16cid:durableId="1044910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DC"/>
    <w:rsid w:val="00036446"/>
    <w:rsid w:val="000442BF"/>
    <w:rsid w:val="000517E4"/>
    <w:rsid w:val="00091F01"/>
    <w:rsid w:val="000A74FB"/>
    <w:rsid w:val="000B16A7"/>
    <w:rsid w:val="000B4C44"/>
    <w:rsid w:val="001579EC"/>
    <w:rsid w:val="001610B8"/>
    <w:rsid w:val="00254409"/>
    <w:rsid w:val="00294EDC"/>
    <w:rsid w:val="002D438D"/>
    <w:rsid w:val="002E18D9"/>
    <w:rsid w:val="00320C59"/>
    <w:rsid w:val="003868BB"/>
    <w:rsid w:val="003A0EB2"/>
    <w:rsid w:val="003B2DAC"/>
    <w:rsid w:val="00404400"/>
    <w:rsid w:val="00405080"/>
    <w:rsid w:val="00423767"/>
    <w:rsid w:val="004867B1"/>
    <w:rsid w:val="004A0302"/>
    <w:rsid w:val="004B7A2D"/>
    <w:rsid w:val="004C7EC2"/>
    <w:rsid w:val="005362F3"/>
    <w:rsid w:val="00545B17"/>
    <w:rsid w:val="00553EA1"/>
    <w:rsid w:val="00555D83"/>
    <w:rsid w:val="00576588"/>
    <w:rsid w:val="005A43F0"/>
    <w:rsid w:val="005A458E"/>
    <w:rsid w:val="005C5A45"/>
    <w:rsid w:val="005D18DF"/>
    <w:rsid w:val="005E0CB8"/>
    <w:rsid w:val="00602F88"/>
    <w:rsid w:val="00616F33"/>
    <w:rsid w:val="0062046A"/>
    <w:rsid w:val="00624F01"/>
    <w:rsid w:val="00631FEB"/>
    <w:rsid w:val="006E6F1A"/>
    <w:rsid w:val="006F4618"/>
    <w:rsid w:val="0074204E"/>
    <w:rsid w:val="00784D21"/>
    <w:rsid w:val="007A1C0F"/>
    <w:rsid w:val="007A4218"/>
    <w:rsid w:val="007A67E4"/>
    <w:rsid w:val="008023BB"/>
    <w:rsid w:val="00816178"/>
    <w:rsid w:val="00820CDC"/>
    <w:rsid w:val="00822FDE"/>
    <w:rsid w:val="00881BF3"/>
    <w:rsid w:val="00882D10"/>
    <w:rsid w:val="00965BC7"/>
    <w:rsid w:val="009839F6"/>
    <w:rsid w:val="009A0C40"/>
    <w:rsid w:val="009A639D"/>
    <w:rsid w:val="009D3AE7"/>
    <w:rsid w:val="009E2888"/>
    <w:rsid w:val="009F358D"/>
    <w:rsid w:val="00A06AC6"/>
    <w:rsid w:val="00A21159"/>
    <w:rsid w:val="00A24727"/>
    <w:rsid w:val="00A24E90"/>
    <w:rsid w:val="00A70070"/>
    <w:rsid w:val="00A7649B"/>
    <w:rsid w:val="00A8376A"/>
    <w:rsid w:val="00A95CD6"/>
    <w:rsid w:val="00AB4850"/>
    <w:rsid w:val="00B0687A"/>
    <w:rsid w:val="00B2149E"/>
    <w:rsid w:val="00BB0DA1"/>
    <w:rsid w:val="00BB1426"/>
    <w:rsid w:val="00BC1087"/>
    <w:rsid w:val="00BC58BE"/>
    <w:rsid w:val="00BD298C"/>
    <w:rsid w:val="00BD4EE6"/>
    <w:rsid w:val="00C01813"/>
    <w:rsid w:val="00C0661A"/>
    <w:rsid w:val="00C14E38"/>
    <w:rsid w:val="00CD51DA"/>
    <w:rsid w:val="00CD7796"/>
    <w:rsid w:val="00CF110D"/>
    <w:rsid w:val="00D059DE"/>
    <w:rsid w:val="00D75A86"/>
    <w:rsid w:val="00DA0BC4"/>
    <w:rsid w:val="00DA1C49"/>
    <w:rsid w:val="00DC3ED9"/>
    <w:rsid w:val="00DD5245"/>
    <w:rsid w:val="00DE7906"/>
    <w:rsid w:val="00E0162B"/>
    <w:rsid w:val="00E24187"/>
    <w:rsid w:val="00E354D0"/>
    <w:rsid w:val="00F12590"/>
    <w:rsid w:val="00F21D97"/>
    <w:rsid w:val="00F728F5"/>
    <w:rsid w:val="00F84DF2"/>
    <w:rsid w:val="00FE3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7D57"/>
  <w15:chartTrackingRefBased/>
  <w15:docId w15:val="{ACA357C6-E83B-4A4C-B2F8-2F59FDE4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A7"/>
    <w:pPr>
      <w:ind w:left="720"/>
      <w:contextualSpacing/>
    </w:pPr>
  </w:style>
  <w:style w:type="paragraph" w:styleId="NormalWeb">
    <w:name w:val="Normal (Web)"/>
    <w:basedOn w:val="Normal"/>
    <w:uiPriority w:val="99"/>
    <w:unhideWhenUsed/>
    <w:rsid w:val="00A24727"/>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BD4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1087"/>
    <w:rPr>
      <w:color w:val="808080"/>
    </w:rPr>
  </w:style>
  <w:style w:type="character" w:styleId="Hyperlink">
    <w:name w:val="Hyperlink"/>
    <w:basedOn w:val="DefaultParagraphFont"/>
    <w:uiPriority w:val="99"/>
    <w:unhideWhenUsed/>
    <w:rsid w:val="002E18D9"/>
    <w:rPr>
      <w:color w:val="0000FF"/>
      <w:u w:val="single"/>
    </w:rPr>
  </w:style>
  <w:style w:type="character" w:styleId="UnresolvedMention">
    <w:name w:val="Unresolved Mention"/>
    <w:basedOn w:val="DefaultParagraphFont"/>
    <w:uiPriority w:val="99"/>
    <w:semiHidden/>
    <w:unhideWhenUsed/>
    <w:rsid w:val="002E18D9"/>
    <w:rPr>
      <w:color w:val="605E5C"/>
      <w:shd w:val="clear" w:color="auto" w:fill="E1DFDD"/>
    </w:rPr>
  </w:style>
  <w:style w:type="character" w:styleId="FollowedHyperlink">
    <w:name w:val="FollowedHyperlink"/>
    <w:basedOn w:val="DefaultParagraphFont"/>
    <w:uiPriority w:val="99"/>
    <w:semiHidden/>
    <w:unhideWhenUsed/>
    <w:rsid w:val="002E18D9"/>
    <w:rPr>
      <w:color w:val="954F72" w:themeColor="followedHyperlink"/>
      <w:u w:val="single"/>
    </w:rPr>
  </w:style>
  <w:style w:type="character" w:styleId="CommentReference">
    <w:name w:val="annotation reference"/>
    <w:basedOn w:val="DefaultParagraphFont"/>
    <w:uiPriority w:val="99"/>
    <w:semiHidden/>
    <w:unhideWhenUsed/>
    <w:rsid w:val="00A24E90"/>
    <w:rPr>
      <w:sz w:val="16"/>
      <w:szCs w:val="16"/>
    </w:rPr>
  </w:style>
  <w:style w:type="paragraph" w:styleId="CommentText">
    <w:name w:val="annotation text"/>
    <w:basedOn w:val="Normal"/>
    <w:link w:val="CommentTextChar"/>
    <w:uiPriority w:val="99"/>
    <w:semiHidden/>
    <w:unhideWhenUsed/>
    <w:rsid w:val="00A24E90"/>
    <w:rPr>
      <w:sz w:val="20"/>
      <w:szCs w:val="20"/>
    </w:rPr>
  </w:style>
  <w:style w:type="character" w:customStyle="1" w:styleId="CommentTextChar">
    <w:name w:val="Comment Text Char"/>
    <w:basedOn w:val="DefaultParagraphFont"/>
    <w:link w:val="CommentText"/>
    <w:uiPriority w:val="99"/>
    <w:semiHidden/>
    <w:rsid w:val="00A24E90"/>
    <w:rPr>
      <w:sz w:val="20"/>
      <w:szCs w:val="20"/>
    </w:rPr>
  </w:style>
  <w:style w:type="paragraph" w:styleId="CommentSubject">
    <w:name w:val="annotation subject"/>
    <w:basedOn w:val="CommentText"/>
    <w:next w:val="CommentText"/>
    <w:link w:val="CommentSubjectChar"/>
    <w:uiPriority w:val="99"/>
    <w:semiHidden/>
    <w:unhideWhenUsed/>
    <w:rsid w:val="00A24E90"/>
    <w:rPr>
      <w:b/>
      <w:bCs/>
    </w:rPr>
  </w:style>
  <w:style w:type="character" w:customStyle="1" w:styleId="CommentSubjectChar">
    <w:name w:val="Comment Subject Char"/>
    <w:basedOn w:val="CommentTextChar"/>
    <w:link w:val="CommentSubject"/>
    <w:uiPriority w:val="99"/>
    <w:semiHidden/>
    <w:rsid w:val="00A24E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1859">
      <w:bodyDiv w:val="1"/>
      <w:marLeft w:val="0"/>
      <w:marRight w:val="0"/>
      <w:marTop w:val="0"/>
      <w:marBottom w:val="0"/>
      <w:divBdr>
        <w:top w:val="none" w:sz="0" w:space="0" w:color="auto"/>
        <w:left w:val="none" w:sz="0" w:space="0" w:color="auto"/>
        <w:bottom w:val="none" w:sz="0" w:space="0" w:color="auto"/>
        <w:right w:val="none" w:sz="0" w:space="0" w:color="auto"/>
      </w:divBdr>
      <w:divsChild>
        <w:div w:id="1039748232">
          <w:marLeft w:val="0"/>
          <w:marRight w:val="0"/>
          <w:marTop w:val="0"/>
          <w:marBottom w:val="0"/>
          <w:divBdr>
            <w:top w:val="none" w:sz="0" w:space="0" w:color="auto"/>
            <w:left w:val="none" w:sz="0" w:space="0" w:color="auto"/>
            <w:bottom w:val="none" w:sz="0" w:space="0" w:color="auto"/>
            <w:right w:val="none" w:sz="0" w:space="0" w:color="auto"/>
          </w:divBdr>
          <w:divsChild>
            <w:div w:id="1704136893">
              <w:marLeft w:val="0"/>
              <w:marRight w:val="0"/>
              <w:marTop w:val="0"/>
              <w:marBottom w:val="0"/>
              <w:divBdr>
                <w:top w:val="none" w:sz="0" w:space="0" w:color="auto"/>
                <w:left w:val="none" w:sz="0" w:space="0" w:color="auto"/>
                <w:bottom w:val="none" w:sz="0" w:space="0" w:color="auto"/>
                <w:right w:val="none" w:sz="0" w:space="0" w:color="auto"/>
              </w:divBdr>
              <w:divsChild>
                <w:div w:id="4944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1437">
      <w:bodyDiv w:val="1"/>
      <w:marLeft w:val="0"/>
      <w:marRight w:val="0"/>
      <w:marTop w:val="0"/>
      <w:marBottom w:val="0"/>
      <w:divBdr>
        <w:top w:val="none" w:sz="0" w:space="0" w:color="auto"/>
        <w:left w:val="none" w:sz="0" w:space="0" w:color="auto"/>
        <w:bottom w:val="none" w:sz="0" w:space="0" w:color="auto"/>
        <w:right w:val="none" w:sz="0" w:space="0" w:color="auto"/>
      </w:divBdr>
      <w:divsChild>
        <w:div w:id="591668144">
          <w:marLeft w:val="0"/>
          <w:marRight w:val="0"/>
          <w:marTop w:val="0"/>
          <w:marBottom w:val="0"/>
          <w:divBdr>
            <w:top w:val="none" w:sz="0" w:space="0" w:color="auto"/>
            <w:left w:val="none" w:sz="0" w:space="0" w:color="auto"/>
            <w:bottom w:val="none" w:sz="0" w:space="0" w:color="auto"/>
            <w:right w:val="none" w:sz="0" w:space="0" w:color="auto"/>
          </w:divBdr>
          <w:divsChild>
            <w:div w:id="2048943726">
              <w:marLeft w:val="0"/>
              <w:marRight w:val="0"/>
              <w:marTop w:val="0"/>
              <w:marBottom w:val="0"/>
              <w:divBdr>
                <w:top w:val="none" w:sz="0" w:space="0" w:color="auto"/>
                <w:left w:val="none" w:sz="0" w:space="0" w:color="auto"/>
                <w:bottom w:val="none" w:sz="0" w:space="0" w:color="auto"/>
                <w:right w:val="none" w:sz="0" w:space="0" w:color="auto"/>
              </w:divBdr>
              <w:divsChild>
                <w:div w:id="1690184087">
                  <w:marLeft w:val="0"/>
                  <w:marRight w:val="0"/>
                  <w:marTop w:val="0"/>
                  <w:marBottom w:val="0"/>
                  <w:divBdr>
                    <w:top w:val="none" w:sz="0" w:space="0" w:color="auto"/>
                    <w:left w:val="none" w:sz="0" w:space="0" w:color="auto"/>
                    <w:bottom w:val="none" w:sz="0" w:space="0" w:color="auto"/>
                    <w:right w:val="none" w:sz="0" w:space="0" w:color="auto"/>
                  </w:divBdr>
                </w:div>
                <w:div w:id="6898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1729">
      <w:bodyDiv w:val="1"/>
      <w:marLeft w:val="0"/>
      <w:marRight w:val="0"/>
      <w:marTop w:val="0"/>
      <w:marBottom w:val="0"/>
      <w:divBdr>
        <w:top w:val="none" w:sz="0" w:space="0" w:color="auto"/>
        <w:left w:val="none" w:sz="0" w:space="0" w:color="auto"/>
        <w:bottom w:val="none" w:sz="0" w:space="0" w:color="auto"/>
        <w:right w:val="none" w:sz="0" w:space="0" w:color="auto"/>
      </w:divBdr>
    </w:div>
    <w:div w:id="2095781066">
      <w:bodyDiv w:val="1"/>
      <w:marLeft w:val="0"/>
      <w:marRight w:val="0"/>
      <w:marTop w:val="0"/>
      <w:marBottom w:val="0"/>
      <w:divBdr>
        <w:top w:val="none" w:sz="0" w:space="0" w:color="auto"/>
        <w:left w:val="none" w:sz="0" w:space="0" w:color="auto"/>
        <w:bottom w:val="none" w:sz="0" w:space="0" w:color="auto"/>
        <w:right w:val="none" w:sz="0" w:space="0" w:color="auto"/>
      </w:divBdr>
    </w:div>
    <w:div w:id="211020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1068280500004743" TargetMode="External"/><Relationship Id="rId13" Type="http://schemas.openxmlformats.org/officeDocument/2006/relationships/hyperlink" Target="https://doi.org/10.1111/1477-9552.12011" TargetMode="External"/><Relationship Id="rId18" Type="http://schemas.openxmlformats.org/officeDocument/2006/relationships/hyperlink" Target="https://www.files.ethz.ch/isn/27348/612.pdf" TargetMode="External"/><Relationship Id="rId3" Type="http://schemas.openxmlformats.org/officeDocument/2006/relationships/styles" Target="styles.xml"/><Relationship Id="rId21" Type="http://schemas.openxmlformats.org/officeDocument/2006/relationships/hyperlink" Target="https://doi.org/10.1111/j.1477-8947.2009.01224.x" TargetMode="External"/><Relationship Id="rId7" Type="http://schemas.openxmlformats.org/officeDocument/2006/relationships/hyperlink" Target="https://www.iiste.org/Journals/index.php/JBAH/article/download/1522/1454" TargetMode="External"/><Relationship Id="rId12" Type="http://schemas.openxmlformats.org/officeDocument/2006/relationships/hyperlink" Target="https://doi.org/10.1038/s41893-020-00617-y" TargetMode="External"/><Relationship Id="rId17" Type="http://schemas.openxmlformats.org/officeDocument/2006/relationships/hyperlink" Target="https://doi.org/10.1007/s11119-012-9273-6" TargetMode="External"/><Relationship Id="rId2" Type="http://schemas.openxmlformats.org/officeDocument/2006/relationships/numbering" Target="numbering.xml"/><Relationship Id="rId16" Type="http://schemas.openxmlformats.org/officeDocument/2006/relationships/hyperlink" Target="https://doi.org/10.1111/cobi.13123" TargetMode="External"/><Relationship Id="rId20" Type="http://schemas.openxmlformats.org/officeDocument/2006/relationships/hyperlink" Target="https://doi.org/10.37284/eajab.2.1.11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iswcr.2020.10.007" TargetMode="External"/><Relationship Id="rId5" Type="http://schemas.openxmlformats.org/officeDocument/2006/relationships/webSettings" Target="webSettings.xml"/><Relationship Id="rId15" Type="http://schemas.openxmlformats.org/officeDocument/2006/relationships/hyperlink" Target="https://www.researchgate.net/publication/296437744_Soil_and_Water_Conservation_Practices_and_their_Potential_for_Out-scaling_as_Water-Smart_Strategies_in_Semi-arid_Areas_of_Tanzania" TargetMode="External"/><Relationship Id="rId23" Type="http://schemas.openxmlformats.org/officeDocument/2006/relationships/theme" Target="theme/theme1.xml"/><Relationship Id="rId10" Type="http://schemas.openxmlformats.org/officeDocument/2006/relationships/hyperlink" Target="https://doi.org/10.1016/j.igd.2023.100036" TargetMode="External"/><Relationship Id="rId19" Type="http://schemas.openxmlformats.org/officeDocument/2006/relationships/hyperlink" Target="https://doi.org/10.1016/0040-1625(93)90057-e" TargetMode="External"/><Relationship Id="rId4" Type="http://schemas.openxmlformats.org/officeDocument/2006/relationships/settings" Target="settings.xml"/><Relationship Id="rId9" Type="http://schemas.openxmlformats.org/officeDocument/2006/relationships/hyperlink" Target="https://doi.org/10.1016/j.njas.2020.100326" TargetMode="External"/><Relationship Id="rId14" Type="http://schemas.openxmlformats.org/officeDocument/2006/relationships/hyperlink" Target="https://doi.org/10.1007/s11625-013-021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29CF-D245-8D47-BFE8-42221AA1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12</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yuyaonie</dc:creator>
  <cp:keywords/>
  <dc:description/>
  <cp:lastModifiedBy>yuyaonie</cp:lastModifiedBy>
  <cp:revision>18</cp:revision>
  <dcterms:created xsi:type="dcterms:W3CDTF">2023-11-16T00:58:00Z</dcterms:created>
  <dcterms:modified xsi:type="dcterms:W3CDTF">2023-12-13T08:13:00Z</dcterms:modified>
</cp:coreProperties>
</file>