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v815 新增规范：统一配置、独立执行（2026-08-06）</w:t>
      </w:r>
    </w:p>
    <w:p>
      <w:r>
        <w:rPr>
          <w:rFonts w:ascii="Microsoft YaHei" w:hAnsi="Microsoft YaHei" w:eastAsia="Microsoft YaHei"/>
        </w:rPr>
        <w:t>1. 绑定的内置/外置 App 只能存在一份用户可编辑的每日限额。limit 命令必须强制双端，不得沿用锁定/解锁的 scope 形成仅内置或仅外置限额。</w:t>
      </w:r>
    </w:p>
    <w:p>
      <w:r>
        <w:rPr>
          <w:rFonts w:ascii="Microsoft YaHei" w:hAnsi="Microsoft YaHei" w:eastAsia="Microsoft YaHei"/>
        </w:rPr>
        <w:t>2. “统一限额”不等于合并计时。内置与外置必须保留各自独立的使用时长来源、阈值判断和锁定执行，禁止相加或互相伪造使用时长。</w:t>
      </w:r>
    </w:p>
    <w:p>
      <w:r>
        <w:rPr>
          <w:rFonts w:ascii="Microsoft YaHei" w:hAnsi="Microsoft YaHei" w:eastAsia="Microsoft YaHei"/>
        </w:rPr>
        <w:t>3. 未完成稳定 ID 绑定的外置 App 可以单独锁定/解锁，但不得显示或接受独立限额输入。角色限额命令也必须拒绝未绑定目标。</w:t>
      </w:r>
    </w:p>
    <w:p>
      <w:r>
        <w:rPr>
          <w:rFonts w:ascii="Microsoft YaHei" w:hAnsi="Microsoft YaHei" w:eastAsia="Microsoft YaHei"/>
        </w:rPr>
        <w:t>4. select/onchange 等轻量配置操作不得调用全局 render。应立即持久化，并局部刷新所属面板；涉及滚动容器时必须保存和恢复 scrollTop，防止闪屏、跳页或控件瞬时回退。</w:t>
      </w:r>
    </w:p>
    <w:p>
      <w:r>
        <w:rPr>
          <w:rFonts w:ascii="Microsoft YaHei" w:hAnsi="Microsoft YaHei" w:eastAsia="Microsoft YaHei"/>
        </w:rPr>
        <w:t>5. 绑定映射是本机核心配置。用户完成选择后必须立即写入，不得只依赖延迟防抖保存；服务端快照刷新不得覆盖本机 bindings。</w:t>
      </w:r>
    </w:p>
    <w:p/>
    <w:p>
      <w:pPr>
        <w:pStyle w:val="Heading1"/>
      </w:pPr>
      <w:r>
        <w:t>v816 新增规范：功能分支上线、角色自主边界与版本回报（2026-08-06）</w:t>
      </w:r>
    </w:p>
    <w:p>
      <w:pPr/>
      <w:r>
        <w:t>1. 推送功能分支不等于线上发布。用户要求上线后，必须核对站点实际部署分支、origin/main 提交、页面版本号和 Service Worker BUILD；只有远端 main 指向新提交后才能报告已推送。</w:t>
      </w:r>
    </w:p>
    <w:p>
      <w:pPr/>
      <w:r>
        <w:t>2. 功能分支落后于 main 时，禁止整分支覆盖或强推。必须以最新 main 为基线，只移植目标功能与对应测试，并确认期间新增的锁软件、伴生设备、存储、电话和音乐修复仍保留。</w:t>
      </w:r>
    </w:p>
    <w:p>
      <w:pPr/>
      <w:r>
        <w:t>3. 微信自主模式只能停用系统强制的心情值、亲密度、怀疑升级、久未回复催促、固定跟进和固定电话反应；不得删除角色可自主选择的来电能力，也不得绕过或破坏软件锁、权限、限额、稳定 ID 绑定和命令执行。</w:t>
      </w:r>
    </w:p>
    <w:p>
      <w:pPr/>
      <w:r>
        <w:t>4. 电子宠物应保持为独立模块和独立持久状态。房间交互、换装、双宠拖动与成长修复不得顺带改游戏大厅其他游戏、微信数据或伴生设备状态。</w:t>
      </w:r>
    </w:p>
    <w:p>
      <w:pPr/>
      <w:r>
        <w:t>5. 每次完成修改必须明确告诉用户正式版本号；若尚未合入部署分支，只能说明功能分支或预览分支名称，不能把它称为线上版本。</w:t>
      </w:r>
    </w:p>
    <w:p>
      <w:pPr>
        <w:pStyle w:val="Heading2"/>
      </w:pPr>
      <w:r>
        <w:t>移动端可拖动控件的轻点兼容规则（2026-08-06）</w:t>
      </w:r>
    </w:p>
    <w:p>
      <w:pPr>
        <w:pStyle w:val="ListBullet"/>
      </w:pPr>
      <w:r>
        <w:t>同一元素既能拖动又能轻点时，必须在 pointer 生命周期内用位移阈值明确区分，不能把关键轻点行为只交给后续合成 click。</w:t>
      </w:r>
    </w:p>
    <w:p>
      <w:pPr>
        <w:pStyle w:val="ListBullet"/>
      </w:pPr>
      <w:r>
        <w:t>如果 pointerdown/pointerup 使用 preventDefault、指针捕获或会重绘 DOM，无位移的 pointerup 应直接完成轻点行为，并加入一次性或短时重复 click 防护。</w:t>
      </w:r>
    </w:p>
    <w:p>
      <w:pPr>
        <w:pStyle w:val="ListBullet"/>
      </w:pPr>
      <w:r>
        <w:t>pointercancel 只负责清理状态，不得误触发轻点、喂食、进窝等业务动作。</w:t>
      </w:r>
    </w:p>
    <w:p>
      <w:pPr>
        <w:pStyle w:val="ListBullet"/>
      </w:pPr>
      <w:r>
        <w:t>长按蓝框、触摸菜单和点击高亮的抑制必须限定到具体模块；禁止为了修一个页面而在全局设置 user-select:none。</w:t>
      </w:r>
    </w:p>
    <w:p>
      <w:pPr>
        <w:pStyle w:val="ListBullet"/>
      </w:pPr>
      <w:r>
        <w:t>移动交互至少验证：轻点一次只触发一次、拖动不误点、取消不误点、长按不选中文字、两个宠物都能切换与互动。</w:t>
      </w:r>
    </w:p>
    <w:p>
      <w:pPr>
        <w:pStyle w:val="Heading2"/>
      </w:pPr>
      <w:r>
        <w:t>可选择来电声的维护规则（2026-08-06）</w:t>
      </w:r>
    </w:p>
    <w:p>
      <w:pPr>
        <w:pStyle w:val="ListBullet"/>
      </w:pPr>
      <w:r>
        <w:t>来电声、主动拨号声、消息提示音必须保持三条独立链路；修改其中一个时不得复用或替换另外两个的资源和包络。</w:t>
      </w:r>
    </w:p>
    <w:p>
      <w:pPr>
        <w:pStyle w:val="ListBullet"/>
      </w:pPr>
      <w:r>
        <w:t>新增铃声必须进入固定白名单并随 Service Worker 离线缓存；禁止直接信任存档中的任意 URL，旧存档或非法值一律回退默认柔和铃声。</w:t>
      </w:r>
    </w:p>
    <w:p>
      <w:pPr>
        <w:pStyle w:val="ListBullet"/>
      </w:pPr>
      <w:r>
        <w:t>试听必须由用户手势触发、可主动停止、短时自动停止，并在真实来电或通话开始前清理；不得触发振动或写入通话记录。</w:t>
      </w:r>
    </w:p>
    <w:p>
      <w:pPr>
        <w:pStyle w:val="ListBullet"/>
      </w:pPr>
      <w:r>
        <w:t>连续来电素材应验证无长静音间隔、循环接缝、峰值与 RMS；禁止恢复交替双音、救护车式音型或一秒一响。</w:t>
      </w:r>
    </w:p>
    <w:p>
      <w:pPr>
        <w:pStyle w:val="Heading2"/>
      </w:pPr>
      <w:r>
        <w:t>v818 新增规范：自然集合指代不得退化为全量操作（2026-08-06）</w:t>
      </w:r>
    </w:p>
    <w:p>
      <w:pPr>
        <w:pStyle w:val="ListBullet"/>
      </w:pPr>
      <w:r>
        <w:t>“这几个、它们、这些、这四个、都锁、全锁”等集合指代必须绑定最近一轮明确列出的对象集合；不能仅凭“全/都”字样推导为全部已选对象。</w:t>
      </w:r>
    </w:p>
    <w:p>
      <w:pPr>
        <w:pStyle w:val="ListBullet"/>
      </w:pPr>
      <w:r>
        <w:t>只有用户或角色明确说出“全部已选 App、所有软件、全部软件”等全量对象时，才允许执行全量操作；全量入口必须与普通集合入口分开。</w:t>
      </w:r>
    </w:p>
    <w:p>
      <w:pPr>
        <w:pStyle w:val="ListBullet"/>
      </w:pPr>
      <w:r>
        <w:t>角色模型输出只提供意图候选，最终目标必须由确定性解析器按当前对话和稳定 ID 复核；模型不得从可用 App 清单自行扩写集合对象。</w:t>
      </w:r>
    </w:p>
    <w:p>
      <w:pPr>
        <w:pStyle w:val="ListBullet"/>
      </w:pPr>
      <w:r>
        <w:t>对象不明确、上下文超出窗口、名称不存在或数量无法核实时，必须失败关闭且不执行；禁止为了“看起来成功”而回退到全部对象。</w:t>
      </w:r>
    </w:p>
    <w:p>
      <w:pPr>
        <w:pStyle w:val="ListBullet"/>
      </w:pPr>
      <w:r>
        <w:t>存在重叠名称时必须最长名称优先，再按稳定 ID 去重；批量命令测试至少覆盖准确数量、准确 ID、显式全量和模糊失败四类。</w:t>
      </w:r>
    </w:p>
    <w:p>
      <w:pPr>
        <w:pStyle w:val="ListBullet"/>
      </w:pPr>
      <w:r>
        <w:t>角色可自然表达情绪和决定，执行说明必须通过隐藏动作协议传递并在展示前剥离；不得把系统提示词或控制标签显示在聊天正文。</w:t>
      </w:r>
    </w:p>
    <w:p>
      <w:pPr>
        <w:pStyle w:val="Heading2"/>
      </w:pPr>
      <w:r>
        <w:t>v819 新增规范：目标精度与执行范围必须分离（2026-08-06）</w:t>
      </w:r>
    </w:p>
    <w:p>
      <w:pPr>
        <w:pStyle w:val="ListBullet"/>
      </w:pPr>
      <w:r>
        <w:t>指代解析只负责回答“是哪几个 App”，不得顺便把执行范围写死为 external、internal 或全部。</w:t>
      </w:r>
    </w:p>
    <w:p>
      <w:pPr>
        <w:pStyle w:val="ListBullet"/>
      </w:pPr>
      <w:r>
        <w:t>角色命令默认作用于稳定绑定的内外两端；只有角色明确说“仅内置”或“仅外置”时才能缩窄范围。页面手动范围不得暗中影响角色命令。</w:t>
      </w:r>
    </w:p>
    <w:p>
      <w:pPr>
        <w:pStyle w:val="ListBullet"/>
      </w:pPr>
      <w:r>
        <w:t>没有稳定绑定时可以控制明确命中的外置 App，但不得按同名、顺序或数量猜测内置绑定。</w:t>
      </w:r>
    </w:p>
    <w:p>
      <w:pPr>
        <w:pStyle w:val="ListBullet"/>
      </w:pPr>
      <w:r>
        <w:t>“这些/那四个/前面几个”必须从最近明确提到的集合解析；集合数量不一致时宁可不执行，也不能扩大为全部 App。</w:t>
      </w:r>
    </w:p>
    <w:p>
      <w:pPr>
        <w:pStyle w:val="ListBullet"/>
      </w:pPr>
      <w:r>
        <w:t>绑定、锁定、解锁、限额等局部动作禁止触发全页 render；应保存后只刷新所属分区，并保持滚动位置。</w:t>
      </w:r>
    </w:p>
    <w:p>
      <w:pPr>
        <w:pStyle w:val="ListBullet"/>
      </w:pPr>
      <w:r>
        <w:t>每次修改必须至少验证：精确集合边界、绑定双端、未绑定单端、显式范围、局部刷新和完整回归测试。</w:t>
      </w:r>
    </w:p>
    <w:p>
      <w:r>
        <w:rPr>
          <w:b/>
        </w:rPr>
        <w:t>v822 新增规范：功能下线与正式发布必须双重验收（2026-08-06）</w:t>
      </w:r>
    </w:p>
    <w:p>
      <w:r>
        <w:t>删除收费或后台功能时必须同时核对前端入口、默认状态、使用说明、能力返回、路由、价格、计费、退款和部署文档；不能只隐藏按钮。历史待结算数据需要保留明确的安全收尾路径。</w:t>
      </w:r>
    </w:p>
    <w:p>
      <w:r>
        <w:t>内置图片与设置 → AI真图的外置接口是两条独立能力。下线内置后台时不得误删用户自行配置的外置角色真图和画室出图；测试必须同时证明内置入口/路由不存在且外置调用仍存在。</w:t>
      </w:r>
    </w:p>
    <w:p>
      <w:r>
        <w:t>功能分支有提交、工作区无改动或 GitHub 显示已 published 都不代表正式版本上线。每次交付必须确认目标提交进入 origin/main，Service Worker 与入口缓存号一致，并核对线上 app.js 版本和关键功能标记。</w:t>
      </w:r>
    </w:p>
    <w:p>
      <w:r>
        <w:br w:type="page"/>
      </w:r>
    </w:p>
    <w:p>
      <w:pPr>
        <w:pStyle w:val="Heading1"/>
      </w:pPr>
      <w:r>
        <w:t>新增规范：v822 · 伴生命令回执与前台恢复</w:t>
      </w:r>
    </w:p>
    <w:p>
      <w:r>
        <w:rPr>
          <w:b/>
        </w:rPr>
        <w:t>命令真值：</w:t>
      </w:r>
      <w:r>
        <w:t>服务器接受命令不等于设备执行成功；只有 iPhone 回执且回执后的新快照一致，才能显示已锁或已解锁。</w:t>
      </w:r>
    </w:p>
    <w:p>
      <w:r>
        <w:rPr>
          <w:b/>
        </w:rPr>
        <w:t>期望状态：</w:t>
      </w:r>
      <w:r>
        <w:t>同一稳定外置 ID 的 lock/unlock 必须互相覆盖，只保留最后一次用户或角色意图，不允许恢复前台后重放相反旧命令。</w:t>
      </w:r>
    </w:p>
    <w:p>
      <w:r>
        <w:rPr>
          <w:b/>
        </w:rPr>
        <w:t>时效规则：</w:t>
      </w:r>
      <w:r>
        <w:t>pending 超过 15 分钟必须过期；设备快照超过 2 分钟必须标记陈旧，不能继续驱动红色锁定卡片。</w:t>
      </w:r>
    </w:p>
    <w:p>
      <w:r>
        <w:rPr>
          <w:b/>
        </w:rPr>
        <w:t>生命周期：</w:t>
      </w:r>
      <w:r>
        <w:t>网页 pageshow/focus/恢复可见和 iOS scenePhase.active 都必须立即补拉；轮询等待应放在完成首次同步之后。</w:t>
      </w:r>
    </w:p>
    <w:p>
      <w:r>
        <w:rPr>
          <w:b/>
        </w:rPr>
        <w:t>后台边界：</w:t>
      </w:r>
      <w:r>
        <w:t>iOS 完全挂起后的实时命令与关闭后的通知只能通过 APNs/服务器实现；不得宣称普通定时轮询能在完全关闭后运行。</w:t>
      </w:r>
    </w:p>
    <w:p>
      <w:r>
        <w:rPr>
          <w:b/>
        </w:rPr>
        <w:t>回归要求：</w:t>
      </w:r>
      <w:r>
        <w:t>每次修改伴生锁定，至少覆盖同 App 锁→解锁覆盖、解锁→锁覆盖、15 分钟过期、陈旧快照不染红、恢复前台立即补拉五类测试。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