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新聊天接手状态｜v918／私人 1.0.42（2026-08-14）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v918、私人 iOS 1.0.42 (42)、原生桥契约 18、PhoneWeb.bundle v918。安装工程包为小手机私人版_第四十二次安装_v918_2026-08-14.zip。Windows 自动回归结果以本节后续发布记录为准；Windows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字幕视觉基准固定为 v700 的整句淡入跳出，不得恢复逐字符 DOM 或逐字 PiP 绘制。用户识别与角色字幕必须同样处理，长翻译缩字并换行。不得删除角色发声链路；playAndRecord/voiceChat/mixWithOthers 只在通话开始配置，不得每句重新激活。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杂音根因是 v917 为插话取消忙碌期拦截后无条件积压最终识别。当前必须保留输入 RMS 声活动、Speech 置信度、中间识别、近期角色回声和重复过滤；真实用户插话仍允许排队。语音与视频电话都可以在用户确认后共享屏幕。宠物睡眠必须进入左侧粉色窝独立槽位。角色资料两个真实测试入口已删除。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下一步真机顺序：Mac 编译六 Target；播放外部视频并让角色连续说话，同时用户插话；静音观察不得产生消息；核对网页大通话与 PiP 的用户、角色整句动画和长翻译；分别从语音与视频电话启动共享；让一至四只不同动物同时睡觉并检查都在粉色窝内且不重叠。第三方媒体拒绝混音或受保护内容黑屏必须按系统边界单独记录。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新聊天接手状态｜v919／私人 1.0.43（2026-08-14）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v919、私人 iOS 1.0.43 (43)、原生桥契约 18、PhoneWeb.bundle v919。安装工程包为小手机私人版_第四十三次安装_v919_2026-08-14.zip。Windows 自动回归结果以本节发布记录为准，不能冒充 Mac 编译或真机验收。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v919 只针对明确回归：普通语音／视频角色每段播放前重新激活 iOS 通话音频会话；免提网页识别回到 v917 路径；微信输入框使用 16px，面板排在输入栏之后并先收键盘。字幕动画、屏幕共享、角色生成、TTS 文本和宠物功能没有修改。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以后修改前先做四项风险检查：旧功能影响面、最后正常版本、最小改动点、回归测试。遇到回归优先用提交对比恢复已验证代码，不在同一次修复里顺手重构相邻模块。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先不打开屏幕共享：分别测试普通电话和普通视频的首次与连续角色出声；再测试免提真人话语和静音环境；最后检查微信输入框第一次光标、功能面板、表情面板和发送。字幕只确认保持当前效果，不再调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新聊天接手状态｜v920／私人版 1.0.44（2026-08-14）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v920、私人 iOS 1.0.44 (44)、原生桥契约 18、PhoneWeb.bundle v920。v919 真机失败，表现为普通电话和普通视频只有用户字幕，角色没有声音和角色字幕。不要把 v919 写成成功版本。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v920 已对照 v800、v850、v907：恢复忙碌期丢弃识别、1.2／1.5 秒尾音隔离、角色播音前暂停识别、播音后等待并重建；普通前台恢复网页 audio，后台／PiP 才走原生 call.audio.play。字幕动画完全不在本轮修改范围。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全量自动测试为 566 项通过、0 项失败；仍必须在 Mac 编译并在真实 iPhone 验收。第一顺序：不共享屏幕的普通电话；第二顺序：不共享屏幕的普通视频；每种都验证角色首句、连续两句、声音、角色字幕和用户字幕。第三顺序才测静音环境是否误识别。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若真机仍无角色声音，必须收集 callAI lastError、TTS 请求结果、audio onplaying／onerror 和原生 speech.pause／rebuild 的日志，再定位具体停点；不得再次猜测阈值、不得修改字幕动画，也不得把前台播放无条件切回原生播放器。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