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52"/>
          <w:szCs w:val="52"/>
        </w:rPr>
        <w:t xml:space="preserve">INVARIANTS.md</w:t>
      </w:r>
    </w:p>
    <w:p>
      <w:pPr>
        <w:spacing w:after="60"/>
      </w:pPr>
      <w:r>
        <w:rPr>
          <w:color w:val="2E5FA3"/>
          <w:sz w:val="24"/>
          <w:szCs w:val="24"/>
        </w:rPr>
        <w:t xml:space="preserve">Customer Risk API  ·  System Invariants and Test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bCs/>
                <w:sz w:val="20"/>
                <w:szCs w:val="20"/>
              </w:rPr>
              <w:t xml:space="preserve">Source documents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Requirements Brief v1.0  ·  ARCHITECTURE.md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bCs/>
                <w:sz w:val="20"/>
                <w:szCs w:val="20"/>
              </w:rPr>
              <w:t xml:space="preserve">Invariant count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11  (9 primary + 2 operational)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bCs/>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Draft — pending resolution of risk factor schema and customer ID format</w:t>
            </w:r>
          </w:p>
        </w:tc>
      </w:tr>
    </w:tbl>
    <w:p>
      <w:pPr>
        <w:spacing w:after="240"/>
      </w:pPr>
    </w:p>
    <w:p>
      <w:pPr>
        <w:pBdr>
          <w:bottom w:val="single" w:color="DDDDDD" w:sz="3" w:space="1"/>
        </w:pBdr>
        <w:spacing w:after="240" w:before="80"/>
      </w:pPr>
    </w:p>
    <w:p>
      <w:pPr>
        <w:pStyle w:val="Heading1"/>
      </w:pPr>
      <w:r>
        <w:t xml:space="preserve">How to Read This Document</w:t>
      </w:r>
    </w:p>
    <w:p>
      <w:pPr>
        <w:spacing w:after="160"/>
      </w:pPr>
      <w:r>
        <w:rPr>
          <w:color w:val="1A1A2E"/>
        </w:rPr>
        <w:t xml:space="preserve">Each invariant is a condition that must hold at all times during system operation. For each one, three questions are answered:</w:t>
      </w:r>
    </w:p>
    <w:p>
      <w:pPr>
        <w:pStyle w:val="ListParagraph"/>
        <w:numPr>
          <w:ilvl w:val="0"/>
          <w:numId w:val="2"/>
        </w:numPr>
        <w:spacing w:after="100"/>
      </w:pPr>
      <w:r>
        <w:rPr>
          <w:sz w:val="22"/>
          <w:szCs w:val="22"/>
        </w:rPr>
        <w:t xml:space="preserve">What breaks — the specific failure that occurs if the invariant is violated, named precisely.</w:t>
      </w:r>
    </w:p>
    <w:p>
      <w:pPr>
        <w:pStyle w:val="ListParagraph"/>
        <w:numPr>
          <w:ilvl w:val="0"/>
          <w:numId w:val="2"/>
        </w:numPr>
        <w:spacing w:after="100"/>
      </w:pPr>
      <w:r>
        <w:rPr>
          <w:sz w:val="22"/>
          <w:szCs w:val="22"/>
        </w:rPr>
        <w:t xml:space="preserve">How you’d know — whether the violation is visible in normal operation or requires deliberate observation.</w:t>
      </w:r>
    </w:p>
    <w:p>
      <w:pPr>
        <w:pStyle w:val="ListParagraph"/>
        <w:numPr>
          <w:ilvl w:val="0"/>
          <w:numId w:val="2"/>
        </w:numPr>
        <w:spacing w:after="100"/>
      </w:pPr>
      <w:r>
        <w:rPr>
          <w:sz w:val="22"/>
          <w:szCs w:val="22"/>
        </w:rPr>
        <w:t xml:space="preserve">Testable — whether a test can exercise the condition, and what that test looks like.</w:t>
      </w:r>
    </w:p>
    <w:p>
      <w:pPr>
        <w:spacing w:after="120"/>
      </w:pPr>
    </w:p>
    <w:p>
      <w:pPr>
        <w:spacing w:after="160"/>
      </w:pPr>
      <w:r>
        <w:rPr>
          <w:color w:val="666666"/>
        </w:rPr>
        <w:t xml:space="preserve">Flags are noted where an invariant is technically satisfiable while still violating its intent, where it is too vague to be testable as stated, or where a gap in the brief leaves the invariant partially undefined.</w:t>
      </w:r>
    </w:p>
    <w:p>
      <w:pPr>
        <w:spacing w:after="240"/>
      </w:pPr>
    </w:p>
    <w:p>
      <w:pPr>
        <w:pBdr>
          <w:bottom w:val="single" w:color="DDDDDD" w:sz="3" w:space="1"/>
        </w:pBdr>
        <w:spacing w:after="240" w:before="80"/>
      </w:pPr>
    </w:p>
    <w:p>
      <w:pPr>
        <w:pStyle w:val="Heading1"/>
      </w:pPr>
      <w:r>
        <w:t xml:space="preserve">Data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8" w:val="clear"/>
            <w:tcMar>
              <w:top w:type="dxa" w:w="120"/>
              <w:left w:type="dxa" w:w="180"/>
              <w:bottom w:type="dxa" w:w="120"/>
              <w:right w:type="dxa" w:w="180"/>
            </w:tcMar>
          </w:tcPr>
          <w:p>
            <w:r>
              <w:rPr>
                <w:rFonts w:ascii="Courier New" w:cs="Courier New" w:eastAsia="Courier New" w:hAnsi="Courier New"/>
                <w:b/>
                <w:bCs/>
                <w:color w:val="2E5FA3"/>
                <w:sz w:val="22"/>
                <w:szCs w:val="22"/>
              </w:rPr>
              <w:t xml:space="preserve">INV-01  </w:t>
            </w:r>
            <w:r>
              <w:rPr>
                <w:b/>
                <w:bCs/>
                <w:color w:val="1A1A2E"/>
                <w:sz w:val="22"/>
                <w:szCs w:val="22"/>
              </w:rPr>
              <w:t xml:space="preserve">Data correctness</w:t>
            </w:r>
          </w:p>
        </w:tc>
      </w:tr>
    </w:tbl>
    <w:p>
      <w:pPr>
        <w:spacing w:after="120"/>
      </w:pPr>
    </w:p>
    <w:p>
      <w:pPr>
        <w:spacing w:after="160"/>
      </w:pPr>
      <w:r>
        <w:rPr>
          <w:color w:val="1A1A2E"/>
        </w:rPr>
        <w:t xml:space="preserve">For every customer ID that exists in the database, the API must return exactly the tier and factors stored for that customer — no transformation, no inference, no default substitution, no reordering.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DF2F2" w:val="clear"/>
            <w:tcMar>
              <w:top w:type="dxa" w:w="100"/>
              <w:left w:type="dxa" w:w="140"/>
              <w:bottom w:type="dxa" w:w="100"/>
              <w:right w:type="dxa" w:w="140"/>
            </w:tcMar>
          </w:tcPr>
          <w:p>
            <w:r>
              <w:rPr>
                <w:b/>
                <w:bCs/>
                <w:color w:val="8B1A1A"/>
                <w:sz w:val="20"/>
                <w:szCs w:val="20"/>
              </w:rPr>
              <w:t xml:space="preserve">What breaks</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An ops staff member acts on a tier or factor set that does not match the database. Because the API is the only interface and has no write path, there is no correction mechanism. The wrong data stands.</w:t>
            </w:r>
          </w:p>
        </w:tc>
      </w:tr>
      <w:tr>
        <w:tc>
          <w:tcPr>
            <w:tcW w:type="dxa" w:w="16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tcPr>
          <w:p>
            <w:r>
              <w:rPr>
                <w:b/>
                <w:bCs/>
                <w:color w:val="7A5000"/>
                <w:sz w:val="20"/>
                <w:szCs w:val="20"/>
              </w:rPr>
              <w:t xml:space="preserve">How you’d know</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Not from normal operation. A discrepancy between the database row and the API response is invisible unless both values are held simultaneously and compared. Monitoring the API in isolation cannot detect this.</w:t>
            </w:r>
          </w:p>
        </w:tc>
      </w:tr>
      <w:tr>
        <w:tc>
          <w:tcPr>
            <w:tcW w:type="dxa" w:w="1600"/>
            <w:tcBorders>
              <w:top w:val="single" w:color="CCCCCC" w:sz="1"/>
              <w:left w:val="single" w:color="CCCCCC" w:sz="1"/>
              <w:bottom w:val="single" w:color="CCCCCC" w:sz="1"/>
              <w:right w:val="single" w:color="CCCCCC" w:sz="1"/>
            </w:tcBorders>
            <w:shd w:fill="F2FAF5" w:val="clear"/>
            <w:tcMar>
              <w:top w:type="dxa" w:w="100"/>
              <w:left w:type="dxa" w:w="140"/>
              <w:bottom w:type="dxa" w:w="100"/>
              <w:right w:type="dxa" w:w="140"/>
            </w:tcMar>
          </w:tcPr>
          <w:p>
            <w:r>
              <w:rPr>
                <w:b/>
                <w:bCs/>
                <w:color w:val="1A5C35"/>
                <w:sz w:val="20"/>
                <w:szCs w:val="20"/>
              </w:rPr>
              <w:t xml:space="preserve">Testable?</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Yes, directly. Seed a known row — fixed ID, fixed tier, fixed ordered factor list. Call the API. Assert the response matches the seed values exactly, field by field, character by character, including factor order. Run for one customer per tier.</w:t>
            </w:r>
          </w:p>
        </w:tc>
      </w:tr>
      <w:tr>
        <w:tc>
          <w:tcPr>
            <w:tcW w:type="dxa" w:w="1600"/>
            <w:tcBorders>
              <w:top w:val="single" w:color="CCCCCC" w:sz="1"/>
              <w:left w:val="single" w:color="CCCCCC" w:sz="1"/>
              <w:bottom w:val="single" w:color="CCCCCC" w:sz="1"/>
              <w:right w:val="single" w:color="CCCCCC" w:sz="1"/>
            </w:tcBorders>
            <w:shd w:fill="F0F5FF" w:val="clear"/>
            <w:tcMar>
              <w:top w:type="dxa" w:w="100"/>
              <w:left w:type="dxa" w:w="140"/>
              <w:bottom w:type="dxa" w:w="100"/>
              <w:right w:type="dxa" w:w="140"/>
            </w:tcMar>
          </w:tcPr>
          <w:p>
            <w:r>
              <w:rPr>
                <w:b/>
                <w:bCs/>
                <w:color w:val="1A3A6B"/>
                <w:sz w:val="20"/>
                <w:szCs w:val="20"/>
              </w:rPr>
              <w:t xml:space="preserve">Flag</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An implementation that uppercases, trims, or reorders factors satisfies a loose reading of ‘return the risk data’ while corrupting it. The invariant must specify lossless, order-preserving projection. Also: this test is only reliable if seed data is deterministic. Randomly generated seeds make exact-match assertions impossible.</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8" w:val="clear"/>
            <w:tcMar>
              <w:top w:type="dxa" w:w="120"/>
              <w:left w:type="dxa" w:w="180"/>
              <w:bottom w:type="dxa" w:w="120"/>
              <w:right w:type="dxa" w:w="180"/>
            </w:tcMar>
          </w:tcPr>
          <w:p>
            <w:r>
              <w:rPr>
                <w:rFonts w:ascii="Courier New" w:cs="Courier New" w:eastAsia="Courier New" w:hAnsi="Courier New"/>
                <w:b/>
                <w:bCs/>
                <w:color w:val="2E5FA3"/>
                <w:sz w:val="22"/>
                <w:szCs w:val="22"/>
              </w:rPr>
              <w:t xml:space="preserve">INV-02  </w:t>
            </w:r>
            <w:r>
              <w:rPr>
                <w:b/>
                <w:bCs/>
                <w:color w:val="1A1A2E"/>
                <w:sz w:val="22"/>
                <w:szCs w:val="22"/>
              </w:rPr>
              <w:t xml:space="preserve">Existence mapping</w:t>
            </w:r>
          </w:p>
        </w:tc>
      </w:tr>
    </w:tbl>
    <w:p>
      <w:pPr>
        <w:spacing w:after="120"/>
      </w:pPr>
    </w:p>
    <w:p>
      <w:pPr>
        <w:spacing w:after="160"/>
      </w:pPr>
      <w:r>
        <w:rPr>
          <w:color w:val="1A1A2E"/>
        </w:rPr>
        <w:t xml:space="preserve">A customer ID that exists in the database must return 200. A customer ID that does not exist must return 404. These are the only two valid outcomes for a well-formed request to the customer endpoint.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DF2F2" w:val="clear"/>
            <w:tcMar>
              <w:top w:type="dxa" w:w="100"/>
              <w:left w:type="dxa" w:w="140"/>
              <w:bottom w:type="dxa" w:w="100"/>
              <w:right w:type="dxa" w:w="140"/>
            </w:tcMar>
          </w:tcPr>
          <w:p>
            <w:r>
              <w:rPr>
                <w:b/>
                <w:bCs/>
                <w:color w:val="8B1A1A"/>
                <w:sz w:val="20"/>
                <w:szCs w:val="20"/>
              </w:rPr>
              <w:t xml:space="preserve">What breaks</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A 404 for an existing customer triggers a manual investigation into a data gap that does not exist. A 200 for a non-existing customer is worse — it asserts the customer exists with a specific risk profile, which is a false and actionable claim.</w:t>
            </w:r>
          </w:p>
        </w:tc>
      </w:tr>
      <w:tr>
        <w:tc>
          <w:tcPr>
            <w:tcW w:type="dxa" w:w="16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tcPr>
          <w:p>
            <w:r>
              <w:rPr>
                <w:b/>
                <w:bCs/>
                <w:color w:val="7A5000"/>
                <w:sz w:val="20"/>
                <w:szCs w:val="20"/>
              </w:rPr>
              <w:t xml:space="preserve">How you’d know</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The 404-on-existing case surfaces through a staff investigation. The 200-on-non-existing case likely does not surface at all — a fabricated or empty response looks valid if no one cross-checks it against the database.</w:t>
            </w:r>
          </w:p>
        </w:tc>
      </w:tr>
      <w:tr>
        <w:tc>
          <w:tcPr>
            <w:tcW w:type="dxa" w:w="1600"/>
            <w:tcBorders>
              <w:top w:val="single" w:color="CCCCCC" w:sz="1"/>
              <w:left w:val="single" w:color="CCCCCC" w:sz="1"/>
              <w:bottom w:val="single" w:color="CCCCCC" w:sz="1"/>
              <w:right w:val="single" w:color="CCCCCC" w:sz="1"/>
            </w:tcBorders>
            <w:shd w:fill="F2FAF5" w:val="clear"/>
            <w:tcMar>
              <w:top w:type="dxa" w:w="100"/>
              <w:left w:type="dxa" w:w="140"/>
              <w:bottom w:type="dxa" w:w="100"/>
              <w:right w:type="dxa" w:w="140"/>
            </w:tcMar>
          </w:tcPr>
          <w:p>
            <w:r>
              <w:rPr>
                <w:b/>
                <w:bCs/>
                <w:color w:val="1A5C35"/>
                <w:sz w:val="20"/>
                <w:szCs w:val="20"/>
              </w:rPr>
              <w:t xml:space="preserve">Testable?</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Yes. Call with a seeded ID — assert 200. Call with a guaranteed-absent ID — assert 404. Requires the seed to be deterministic. A separate assertion is also needed: the 404 body must contain no customer data, no database detail, and must conform to the error envelope shape.</w:t>
            </w:r>
          </w:p>
        </w:tc>
      </w:tr>
      <w:tr>
        <w:tc>
          <w:tcPr>
            <w:tcW w:type="dxa" w:w="1600"/>
            <w:tcBorders>
              <w:top w:val="single" w:color="CCCCCC" w:sz="1"/>
              <w:left w:val="single" w:color="CCCCCC" w:sz="1"/>
              <w:bottom w:val="single" w:color="CCCCCC" w:sz="1"/>
              <w:right w:val="single" w:color="CCCCCC" w:sz="1"/>
            </w:tcBorders>
            <w:shd w:fill="F0F5FF" w:val="clear"/>
            <w:tcMar>
              <w:top w:type="dxa" w:w="100"/>
              <w:left w:type="dxa" w:w="140"/>
              <w:bottom w:type="dxa" w:w="100"/>
              <w:right w:type="dxa" w:w="140"/>
            </w:tcMar>
          </w:tcPr>
          <w:p>
            <w:r>
              <w:rPr>
                <w:b/>
                <w:bCs/>
                <w:color w:val="1A3A6B"/>
                <w:sz w:val="20"/>
                <w:szCs w:val="20"/>
              </w:rPr>
              <w:t xml:space="preserve">Flag</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An implementation that returns 200 with an empty factors array for an unknown customer satisfies ‘return a structured response’ while asserting the customer exists with no risk factors — a specific false claim. The status code test alone does not catch this; the body must also be asserted.</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8" w:val="clear"/>
            <w:tcMar>
              <w:top w:type="dxa" w:w="120"/>
              <w:left w:type="dxa" w:w="180"/>
              <w:bottom w:type="dxa" w:w="120"/>
              <w:right w:type="dxa" w:w="180"/>
            </w:tcMar>
          </w:tcPr>
          <w:p>
            <w:r>
              <w:rPr>
                <w:rFonts w:ascii="Courier New" w:cs="Courier New" w:eastAsia="Courier New" w:hAnsi="Courier New"/>
                <w:b/>
                <w:bCs/>
                <w:color w:val="2E5FA3"/>
                <w:sz w:val="22"/>
                <w:szCs w:val="22"/>
              </w:rPr>
              <w:t xml:space="preserve">INV-03  </w:t>
            </w:r>
            <w:r>
              <w:rPr>
                <w:b/>
                <w:bCs/>
                <w:color w:val="1A1A2E"/>
                <w:sz w:val="22"/>
                <w:szCs w:val="22"/>
              </w:rPr>
              <w:t xml:space="preserve">Mutability</w:t>
            </w:r>
          </w:p>
        </w:tc>
      </w:tr>
    </w:tbl>
    <w:p>
      <w:pPr>
        <w:spacing w:after="120"/>
      </w:pPr>
    </w:p>
    <w:p>
      <w:pPr>
        <w:spacing w:after="160"/>
      </w:pPr>
      <w:r>
        <w:rPr>
          <w:color w:val="1A1A2E"/>
        </w:rPr>
        <w:t xml:space="preserve">No request to the API must result in any write, update, or delete operation on the database. This includes side effects — no audit log writes, no access counters, no session records, in any 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DF2F2" w:val="clear"/>
            <w:tcMar>
              <w:top w:type="dxa" w:w="100"/>
              <w:left w:type="dxa" w:w="140"/>
              <w:bottom w:type="dxa" w:w="100"/>
              <w:right w:type="dxa" w:w="140"/>
            </w:tcMar>
          </w:tcPr>
          <w:p>
            <w:r>
              <w:rPr>
                <w:b/>
                <w:bCs/>
                <w:color w:val="8B1A1A"/>
                <w:sz w:val="20"/>
                <w:szCs w:val="20"/>
              </w:rPr>
              <w:t xml:space="preserve">What breaks</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A write that appears harmless — an access counter, an audit record — creates a write path that can fail, lock, and degrade reads. An accidental write to the risk profile table corrupts the data the API is supposed to serve faithfully.</w:t>
            </w:r>
          </w:p>
        </w:tc>
      </w:tr>
      <w:tr>
        <w:tc>
          <w:tcPr>
            <w:tcW w:type="dxa" w:w="16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tcPr>
          <w:p>
            <w:r>
              <w:rPr>
                <w:b/>
                <w:bCs/>
                <w:color w:val="7A5000"/>
                <w:sz w:val="20"/>
                <w:szCs w:val="20"/>
              </w:rPr>
              <w:t xml:space="preserve">How you’d know</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Not unless the full database state is asserted before and after each request. Row count alone is insufficient: a write followed by a delete passes a row count check while still violating the invariant.</w:t>
            </w:r>
          </w:p>
        </w:tc>
      </w:tr>
      <w:tr>
        <w:tc>
          <w:tcPr>
            <w:tcW w:type="dxa" w:w="1600"/>
            <w:tcBorders>
              <w:top w:val="single" w:color="CCCCCC" w:sz="1"/>
              <w:left w:val="single" w:color="CCCCCC" w:sz="1"/>
              <w:bottom w:val="single" w:color="CCCCCC" w:sz="1"/>
              <w:right w:val="single" w:color="CCCCCC" w:sz="1"/>
            </w:tcBorders>
            <w:shd w:fill="F2FAF5" w:val="clear"/>
            <w:tcMar>
              <w:top w:type="dxa" w:w="100"/>
              <w:left w:type="dxa" w:w="140"/>
              <w:bottom w:type="dxa" w:w="100"/>
              <w:right w:type="dxa" w:w="140"/>
            </w:tcMar>
          </w:tcPr>
          <w:p>
            <w:r>
              <w:rPr>
                <w:b/>
                <w:bCs/>
                <w:color w:val="1A5C35"/>
                <w:sz w:val="20"/>
                <w:szCs w:val="20"/>
              </w:rPr>
              <w:t xml:space="preserve">Testable?</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Yes, but only with the right scope. After every request — 200, 404, 401, 422, 500 — snapshot the full database and assert it is identical to the pre-request state. The snapshot must cover all tables and all rows, not just the risk profile table.</w:t>
            </w:r>
          </w:p>
        </w:tc>
      </w:tr>
      <w:tr>
        <w:tc>
          <w:tcPr>
            <w:tcW w:type="dxa" w:w="1600"/>
            <w:tcBorders>
              <w:top w:val="single" w:color="CCCCCC" w:sz="1"/>
              <w:left w:val="single" w:color="CCCCCC" w:sz="1"/>
              <w:bottom w:val="single" w:color="CCCCCC" w:sz="1"/>
              <w:right w:val="single" w:color="CCCCCC" w:sz="1"/>
            </w:tcBorders>
            <w:shd w:fill="F0F5FF" w:val="clear"/>
            <w:tcMar>
              <w:top w:type="dxa" w:w="100"/>
              <w:left w:type="dxa" w:w="140"/>
              <w:bottom w:type="dxa" w:w="100"/>
              <w:right w:type="dxa" w:w="140"/>
            </w:tcMar>
          </w:tcPr>
          <w:p>
            <w:r>
              <w:rPr>
                <w:b/>
                <w:bCs/>
                <w:color w:val="1A3A6B"/>
                <w:sz w:val="20"/>
                <w:szCs w:val="20"/>
              </w:rPr>
              <w:t xml:space="preserve">Flag</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A transaction that opens, writes, and rolls back leaves no trace in the database but still violated the spirit of the invariant. State-comparison tests cannot catch this. Catching it requires query-level instrumentation — either a Postgres audit extension or a test-mode query log — not just before/after snapshots.</w:t>
            </w:r>
          </w:p>
        </w:tc>
      </w:tr>
    </w:tbl>
    <w:p>
      <w:pPr>
        <w:spacing w:after="280"/>
      </w:pPr>
    </w:p>
    <w:p>
      <w:pPr>
        <w:pBdr>
          <w:bottom w:val="single" w:color="DDDDDD" w:sz="3" w:space="1"/>
        </w:pBdr>
        <w:spacing w:after="240" w:before="80"/>
      </w:pPr>
    </w:p>
    <w:p>
      <w:pPr>
        <w:pStyle w:val="Heading1"/>
      </w:pPr>
      <w:r>
        <w:t xml:space="preserve">Contract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8" w:val="clear"/>
            <w:tcMar>
              <w:top w:type="dxa" w:w="120"/>
              <w:left w:type="dxa" w:w="180"/>
              <w:bottom w:type="dxa" w:w="120"/>
              <w:right w:type="dxa" w:w="180"/>
            </w:tcMar>
          </w:tcPr>
          <w:p>
            <w:r>
              <w:rPr>
                <w:rFonts w:ascii="Courier New" w:cs="Courier New" w:eastAsia="Courier New" w:hAnsi="Courier New"/>
                <w:b/>
                <w:bCs/>
                <w:color w:val="2E5FA3"/>
                <w:sz w:val="22"/>
                <w:szCs w:val="22"/>
              </w:rPr>
              <w:t xml:space="preserve">INV-04  </w:t>
            </w:r>
            <w:r>
              <w:rPr>
                <w:b/>
                <w:bCs/>
                <w:color w:val="1A1A2E"/>
                <w:sz w:val="22"/>
                <w:szCs w:val="22"/>
              </w:rPr>
              <w:t xml:space="preserve">Response shape</w:t>
            </w:r>
          </w:p>
        </w:tc>
      </w:tr>
    </w:tbl>
    <w:p>
      <w:pPr>
        <w:spacing w:after="120"/>
      </w:pPr>
    </w:p>
    <w:p>
      <w:pPr>
        <w:spacing w:after="160"/>
      </w:pPr>
      <w:r>
        <w:rPr>
          <w:color w:val="1A1A2E"/>
        </w:rPr>
        <w:t xml:space="preserve">Every 200 response must contain exactly three fields: customer_id (string), risk_tier (one of LOW / MEDIUM / HIGH, no whitespace variants), and risk_factors (a list, never null, never absent, even if empty). No additional fields, no missing fields, no type variations.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DF2F2" w:val="clear"/>
            <w:tcMar>
              <w:top w:type="dxa" w:w="100"/>
              <w:left w:type="dxa" w:w="140"/>
              <w:bottom w:type="dxa" w:w="100"/>
              <w:right w:type="dxa" w:w="140"/>
            </w:tcMar>
          </w:tcPr>
          <w:p>
            <w:r>
              <w:rPr>
                <w:b/>
                <w:bCs/>
                <w:color w:val="8B1A1A"/>
                <w:sz w:val="20"/>
                <w:szCs w:val="20"/>
              </w:rPr>
              <w:t xml:space="preserve">What breaks</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A downstream tool pattern-matching on risk_tier receives ‘low’ or ‘HIGH ’ and silently misclassifies the customer. A null risk_factors field crashes any consumer that iterates it. A missing field causes a KeyError in any consumer that accesses it directly.</w:t>
            </w:r>
          </w:p>
        </w:tc>
      </w:tr>
      <w:tr>
        <w:tc>
          <w:tcPr>
            <w:tcW w:type="dxa" w:w="16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tcPr>
          <w:p>
            <w:r>
              <w:rPr>
                <w:b/>
                <w:bCs/>
                <w:color w:val="7A5000"/>
                <w:sz w:val="20"/>
                <w:szCs w:val="20"/>
              </w:rPr>
              <w:t xml:space="preserve">How you’d know</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From a consumer error, not from the API. The API returns HTTP 200 and has no way to know the consumer broke. Silent misclassification — where ‘low’ falls through a case statement and triggers a default — does not surface at all unless the consumer is also tested.</w:t>
            </w:r>
          </w:p>
        </w:tc>
      </w:tr>
      <w:tr>
        <w:tc>
          <w:tcPr>
            <w:tcW w:type="dxa" w:w="1600"/>
            <w:tcBorders>
              <w:top w:val="single" w:color="CCCCCC" w:sz="1"/>
              <w:left w:val="single" w:color="CCCCCC" w:sz="1"/>
              <w:bottom w:val="single" w:color="CCCCCC" w:sz="1"/>
              <w:right w:val="single" w:color="CCCCCC" w:sz="1"/>
            </w:tcBorders>
            <w:shd w:fill="F2FAF5" w:val="clear"/>
            <w:tcMar>
              <w:top w:type="dxa" w:w="100"/>
              <w:left w:type="dxa" w:w="140"/>
              <w:bottom w:type="dxa" w:w="100"/>
              <w:right w:type="dxa" w:w="140"/>
            </w:tcMar>
          </w:tcPr>
          <w:p>
            <w:r>
              <w:rPr>
                <w:b/>
                <w:bCs/>
                <w:color w:val="1A5C35"/>
                <w:sz w:val="20"/>
                <w:szCs w:val="20"/>
              </w:rPr>
              <w:t xml:space="preserve">Testable?</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Yes. For every seeded customer, validate the response body against a strict schema: customer_id is a non-empty string, risk_tier is exactly one of [LOW, MEDIUM, HIGH] with no surrounding whitespace, risk_factors is a list and is never null. Run schema validation on every response, including error paths.</w:t>
            </w:r>
          </w:p>
        </w:tc>
      </w:tr>
      <w:tr>
        <w:tc>
          <w:tcPr>
            <w:tcW w:type="dxa" w:w="1600"/>
            <w:tcBorders>
              <w:top w:val="single" w:color="CCCCCC" w:sz="1"/>
              <w:left w:val="single" w:color="CCCCCC" w:sz="1"/>
              <w:bottom w:val="single" w:color="CCCCCC" w:sz="1"/>
              <w:right w:val="single" w:color="CCCCCC" w:sz="1"/>
            </w:tcBorders>
            <w:shd w:fill="F0F5FF" w:val="clear"/>
            <w:tcMar>
              <w:top w:type="dxa" w:w="100"/>
              <w:left w:type="dxa" w:w="140"/>
              <w:bottom w:type="dxa" w:w="100"/>
              <w:right w:type="dxa" w:w="140"/>
            </w:tcMar>
          </w:tcPr>
          <w:p>
            <w:r>
              <w:rPr>
                <w:b/>
                <w:bCs/>
                <w:color w:val="1A3A6B"/>
                <w:sz w:val="20"/>
                <w:szCs w:val="20"/>
              </w:rPr>
              <w:t xml:space="preserve">Flag</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The risk factor element shape is still undefined (see ARCHITECTURE.md §6). Until resolved, tests can assert risk_factors is a non-null list but cannot assert what a valid element looks like. The interior of the list is untestable in the current state of the brief.</w:t>
            </w:r>
          </w:p>
        </w:tc>
      </w:tr>
    </w:tbl>
    <w:p>
      <w:pPr>
        <w:spacing w:after="280"/>
      </w:pPr>
    </w:p>
    <w:p>
      <w:pPr>
        <w:pBdr>
          <w:bottom w:val="single" w:color="DDDDDD" w:sz="3" w:space="1"/>
        </w:pBdr>
        <w:spacing w:after="240" w:before="80"/>
      </w:pPr>
    </w:p>
    <w:p>
      <w:pPr>
        <w:pStyle w:val="Heading1"/>
      </w:pPr>
      <w:r>
        <w:t xml:space="preserve">Security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8" w:val="clear"/>
            <w:tcMar>
              <w:top w:type="dxa" w:w="120"/>
              <w:left w:type="dxa" w:w="180"/>
              <w:bottom w:type="dxa" w:w="120"/>
              <w:right w:type="dxa" w:w="180"/>
            </w:tcMar>
          </w:tcPr>
          <w:p>
            <w:r>
              <w:rPr>
                <w:rFonts w:ascii="Courier New" w:cs="Courier New" w:eastAsia="Courier New" w:hAnsi="Courier New"/>
                <w:b/>
                <w:bCs/>
                <w:color w:val="2E5FA3"/>
                <w:sz w:val="22"/>
                <w:szCs w:val="22"/>
              </w:rPr>
              <w:t xml:space="preserve">INV-05  </w:t>
            </w:r>
            <w:r>
              <w:rPr>
                <w:b/>
                <w:bCs/>
                <w:color w:val="1A1A2E"/>
                <w:sz w:val="22"/>
                <w:szCs w:val="22"/>
              </w:rPr>
              <w:t xml:space="preserve">Authentication</w:t>
            </w:r>
          </w:p>
        </w:tc>
      </w:tr>
    </w:tbl>
    <w:p>
      <w:pPr>
        <w:spacing w:after="120"/>
      </w:pPr>
    </w:p>
    <w:p>
      <w:pPr>
        <w:spacing w:after="160"/>
      </w:pPr>
      <w:r>
        <w:rPr>
          <w:color w:val="1A1A2E"/>
        </w:rPr>
        <w:t xml:space="preserve">No request to any endpoint — including the UI route, error routes, /docs, /openapi.json, /redoc, and any undocumented route — must return customer data or API schema without a valid API key. A missing key returns 401. An invalid key returns 401.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DF2F2" w:val="clear"/>
            <w:tcMar>
              <w:top w:type="dxa" w:w="100"/>
              <w:left w:type="dxa" w:w="140"/>
              <w:bottom w:type="dxa" w:w="100"/>
              <w:right w:type="dxa" w:w="140"/>
            </w:tcMar>
          </w:tcPr>
          <w:p>
            <w:r>
              <w:rPr>
                <w:b/>
                <w:bCs/>
                <w:color w:val="8B1A1A"/>
                <w:sz w:val="20"/>
                <w:szCs w:val="20"/>
              </w:rPr>
              <w:t xml:space="preserve">What breaks</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Customer risk data is accessible to any caller who can reach the service. FastAPI’s default /docs and /openapi.json routes, if left open, expose the full API schema — field names, tier vocabulary, endpoint structure — to any unauthenticated caller.</w:t>
            </w:r>
          </w:p>
        </w:tc>
      </w:tr>
      <w:tr>
        <w:tc>
          <w:tcPr>
            <w:tcW w:type="dxa" w:w="16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tcPr>
          <w:p>
            <w:r>
              <w:rPr>
                <w:b/>
                <w:bCs/>
                <w:color w:val="7A5000"/>
                <w:sz w:val="20"/>
                <w:szCs w:val="20"/>
              </w:rPr>
              <w:t xml:space="preserve">How you’d know</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Not from normal operation. An unauthenticated request that returns 200 instead of 401 looks identical in a response log to an authenticated one unless the auth header is also logged and checked. Only an external audit or deliberate probe surfaces this.</w:t>
            </w:r>
          </w:p>
        </w:tc>
      </w:tr>
      <w:tr>
        <w:tc>
          <w:tcPr>
            <w:tcW w:type="dxa" w:w="1600"/>
            <w:tcBorders>
              <w:top w:val="single" w:color="CCCCCC" w:sz="1"/>
              <w:left w:val="single" w:color="CCCCCC" w:sz="1"/>
              <w:bottom w:val="single" w:color="CCCCCC" w:sz="1"/>
              <w:right w:val="single" w:color="CCCCCC" w:sz="1"/>
            </w:tcBorders>
            <w:shd w:fill="F2FAF5" w:val="clear"/>
            <w:tcMar>
              <w:top w:type="dxa" w:w="100"/>
              <w:left w:type="dxa" w:w="140"/>
              <w:bottom w:type="dxa" w:w="100"/>
              <w:right w:type="dxa" w:w="140"/>
            </w:tcMar>
          </w:tcPr>
          <w:p>
            <w:r>
              <w:rPr>
                <w:b/>
                <w:bCs/>
                <w:color w:val="1A5C35"/>
                <w:sz w:val="20"/>
                <w:szCs w:val="20"/>
              </w:rPr>
              <w:t xml:space="preserve">Testable?</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Yes, exhaustively. Send a request with no key — assert 401. Send a request with a malformed key — assert 401. Send a near-miss key — assert 401. Send all of the above to every endpoint including /docs, /openapi.json, /redoc, and any static asset route. The test matrix is wider than just the data endpoint.</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8" w:val="clear"/>
            <w:tcMar>
              <w:top w:type="dxa" w:w="120"/>
              <w:left w:type="dxa" w:w="180"/>
              <w:bottom w:type="dxa" w:w="120"/>
              <w:right w:type="dxa" w:w="180"/>
            </w:tcMar>
          </w:tcPr>
          <w:p>
            <w:r>
              <w:rPr>
                <w:rFonts w:ascii="Courier New" w:cs="Courier New" w:eastAsia="Courier New" w:hAnsi="Courier New"/>
                <w:b/>
                <w:bCs/>
                <w:color w:val="2E5FA3"/>
                <w:sz w:val="22"/>
                <w:szCs w:val="22"/>
              </w:rPr>
              <w:t xml:space="preserve">INV-06  </w:t>
            </w:r>
            <w:r>
              <w:rPr>
                <w:b/>
                <w:bCs/>
                <w:color w:val="1A1A2E"/>
                <w:sz w:val="22"/>
                <w:szCs w:val="22"/>
              </w:rPr>
              <w:t xml:space="preserve">Credential handling</w:t>
            </w:r>
          </w:p>
        </w:tc>
      </w:tr>
    </w:tbl>
    <w:p>
      <w:pPr>
        <w:spacing w:after="120"/>
      </w:pPr>
    </w:p>
    <w:p>
      <w:pPr>
        <w:spacing w:after="160"/>
      </w:pPr>
      <w:r>
        <w:rPr>
          <w:color w:val="1A1A2E"/>
        </w:rPr>
        <w:t xml:space="preserve">The API key must never appear in any HTTP response body, response header, log line, error message, or stack trace. It must never be present in client-side JavaScript, HTML source, or any asset served to the browser.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DF2F2" w:val="clear"/>
            <w:tcMar>
              <w:top w:type="dxa" w:w="100"/>
              <w:left w:type="dxa" w:w="140"/>
              <w:bottom w:type="dxa" w:w="100"/>
              <w:right w:type="dxa" w:w="140"/>
            </w:tcMar>
          </w:tcPr>
          <w:p>
            <w:r>
              <w:rPr>
                <w:b/>
                <w:bCs/>
                <w:color w:val="8B1A1A"/>
                <w:sz w:val="20"/>
                <w:szCs w:val="20"/>
              </w:rPr>
              <w:t xml:space="preserve">What breaks</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Any staff member using the UI extracts the key from DevTools and has permanent unscoped API access until the key is manually rotated. An error handler that logs environment variables or echoes request headers leaks the key through the operational surface even if the UI path is clean.</w:t>
            </w:r>
          </w:p>
        </w:tc>
      </w:tr>
      <w:tr>
        <w:tc>
          <w:tcPr>
            <w:tcW w:type="dxa" w:w="16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tcPr>
          <w:p>
            <w:r>
              <w:rPr>
                <w:b/>
                <w:bCs/>
                <w:color w:val="7A5000"/>
                <w:sz w:val="20"/>
                <w:szCs w:val="20"/>
              </w:rPr>
              <w:t xml:space="preserve">How you’d know</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Not from normal operation. A key that has been extracted leaves no trace. The leak is silent unless someone uses the extracted key from a non-UI client, and even then it looks like a normal authenticated request.</w:t>
            </w:r>
          </w:p>
        </w:tc>
      </w:tr>
      <w:tr>
        <w:tc>
          <w:tcPr>
            <w:tcW w:type="dxa" w:w="1600"/>
            <w:tcBorders>
              <w:top w:val="single" w:color="CCCCCC" w:sz="1"/>
              <w:left w:val="single" w:color="CCCCCC" w:sz="1"/>
              <w:bottom w:val="single" w:color="CCCCCC" w:sz="1"/>
              <w:right w:val="single" w:color="CCCCCC" w:sz="1"/>
            </w:tcBorders>
            <w:shd w:fill="F2FAF5" w:val="clear"/>
            <w:tcMar>
              <w:top w:type="dxa" w:w="100"/>
              <w:left w:type="dxa" w:w="140"/>
              <w:bottom w:type="dxa" w:w="100"/>
              <w:right w:type="dxa" w:w="140"/>
            </w:tcMar>
          </w:tcPr>
          <w:p>
            <w:r>
              <w:rPr>
                <w:b/>
                <w:bCs/>
                <w:color w:val="1A5C35"/>
                <w:sz w:val="20"/>
                <w:szCs w:val="20"/>
              </w:rPr>
              <w:t xml:space="preserve">Testable?</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Partially. Assert that the key string does not appear in any HTTP response body or header under any condition — including forced error paths: DB down, bad SQL, 404, 422, 500. Assert it does not appear in served HTML or JavaScript. Log output requires a separate test that captures stdout/stderr and scans it for the key value. Forced error paths are the most important and most commonly skipped.</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8" w:val="clear"/>
            <w:tcMar>
              <w:top w:type="dxa" w:w="120"/>
              <w:left w:type="dxa" w:w="180"/>
              <w:bottom w:type="dxa" w:w="120"/>
              <w:right w:type="dxa" w:w="180"/>
            </w:tcMar>
          </w:tcPr>
          <w:p>
            <w:r>
              <w:rPr>
                <w:rFonts w:ascii="Courier New" w:cs="Courier New" w:eastAsia="Courier New" w:hAnsi="Courier New"/>
                <w:b/>
                <w:bCs/>
                <w:color w:val="2E5FA3"/>
                <w:sz w:val="22"/>
                <w:szCs w:val="22"/>
              </w:rPr>
              <w:t xml:space="preserve">INV-07  </w:t>
            </w:r>
            <w:r>
              <w:rPr>
                <w:b/>
                <w:bCs/>
                <w:color w:val="1A1A2E"/>
                <w:sz w:val="22"/>
                <w:szCs w:val="22"/>
              </w:rPr>
              <w:t xml:space="preserve">Error surfaces</w:t>
            </w:r>
          </w:p>
        </w:tc>
      </w:tr>
    </w:tbl>
    <w:p>
      <w:pPr>
        <w:spacing w:after="120"/>
      </w:pPr>
    </w:p>
    <w:p>
      <w:pPr>
        <w:spacing w:after="160"/>
      </w:pPr>
      <w:r>
        <w:rPr>
          <w:color w:val="1A1A2E"/>
        </w:rPr>
        <w:t xml:space="preserve">Error responses must not contain stack traces, database error messages, SQL fragments, table names, column names, internal hostnames, Python exception class names, or any information about the system’s internal structure. A 500 response must contain only a generic message conforming to the error envelope.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DF2F2" w:val="clear"/>
            <w:tcMar>
              <w:top w:type="dxa" w:w="100"/>
              <w:left w:type="dxa" w:w="140"/>
              <w:bottom w:type="dxa" w:w="100"/>
              <w:right w:type="dxa" w:w="140"/>
            </w:tcMar>
          </w:tcPr>
          <w:p>
            <w:r>
              <w:rPr>
                <w:b/>
                <w:bCs/>
                <w:color w:val="8B1A1A"/>
                <w:sz w:val="20"/>
                <w:szCs w:val="20"/>
              </w:rPr>
              <w:t xml:space="preserve">What breaks</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A database connection failure that returns the internal hostname, port, and driver name reveals network topology. A SQL error that echoes the query reveals the schema. FastAPI’s default exception handler returns Python exception types and messages by default — these must be explicitly suppressed.</w:t>
            </w:r>
          </w:p>
        </w:tc>
      </w:tr>
      <w:tr>
        <w:tc>
          <w:tcPr>
            <w:tcW w:type="dxa" w:w="16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tcPr>
          <w:p>
            <w:r>
              <w:rPr>
                <w:b/>
                <w:bCs/>
                <w:color w:val="7A5000"/>
                <w:sz w:val="20"/>
                <w:szCs w:val="20"/>
              </w:rPr>
              <w:t xml:space="preserve">How you’d know</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Immediately visible to anyone who triggers an error — which in normal operation means any ops staff member who miskeys a customer ID or hits the service during a DB restart. This is one of the most visible invariants when violated.</w:t>
            </w:r>
          </w:p>
        </w:tc>
      </w:tr>
      <w:tr>
        <w:tc>
          <w:tcPr>
            <w:tcW w:type="dxa" w:w="1600"/>
            <w:tcBorders>
              <w:top w:val="single" w:color="CCCCCC" w:sz="1"/>
              <w:left w:val="single" w:color="CCCCCC" w:sz="1"/>
              <w:bottom w:val="single" w:color="CCCCCC" w:sz="1"/>
              <w:right w:val="single" w:color="CCCCCC" w:sz="1"/>
            </w:tcBorders>
            <w:shd w:fill="F2FAF5" w:val="clear"/>
            <w:tcMar>
              <w:top w:type="dxa" w:w="100"/>
              <w:left w:type="dxa" w:w="140"/>
              <w:bottom w:type="dxa" w:w="100"/>
              <w:right w:type="dxa" w:w="140"/>
            </w:tcMar>
          </w:tcPr>
          <w:p>
            <w:r>
              <w:rPr>
                <w:b/>
                <w:bCs/>
                <w:color w:val="1A5C35"/>
                <w:sz w:val="20"/>
                <w:szCs w:val="20"/>
              </w:rPr>
              <w:t xml:space="preserve">Testable?</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Yes, and one of the most directly testable. Force each failure mode: bring the DB container down, pass a syntactically valid but absent customer ID, pass a malformed ID, pass no auth key. For each, assert the response body against a strict allowlist. Scan the raw response string for any internal identifier, hostname, exception class name, or SQL keyword.</w:t>
            </w:r>
          </w:p>
        </w:tc>
      </w:tr>
    </w:tbl>
    <w:p>
      <w:pPr>
        <w:spacing w:after="280"/>
      </w:pPr>
    </w:p>
    <w:p>
      <w:pPr>
        <w:pBdr>
          <w:bottom w:val="single" w:color="DDDDDD" w:sz="3" w:space="1"/>
        </w:pBdr>
        <w:spacing w:after="240" w:before="80"/>
      </w:pPr>
    </w:p>
    <w:p>
      <w:pPr>
        <w:pStyle w:val="Heading1"/>
      </w:pPr>
      <w:r>
        <w:t xml:space="preserve">Isolation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8" w:val="clear"/>
            <w:tcMar>
              <w:top w:type="dxa" w:w="120"/>
              <w:left w:type="dxa" w:w="180"/>
              <w:bottom w:type="dxa" w:w="120"/>
              <w:right w:type="dxa" w:w="180"/>
            </w:tcMar>
          </w:tcPr>
          <w:p>
            <w:r>
              <w:rPr>
                <w:rFonts w:ascii="Courier New" w:cs="Courier New" w:eastAsia="Courier New" w:hAnsi="Courier New"/>
                <w:b/>
                <w:bCs/>
                <w:color w:val="2E5FA3"/>
                <w:sz w:val="22"/>
                <w:szCs w:val="22"/>
              </w:rPr>
              <w:t xml:space="preserve">INV-08  </w:t>
            </w:r>
            <w:r>
              <w:rPr>
                <w:b/>
                <w:bCs/>
                <w:color w:val="1A1A2E"/>
                <w:sz w:val="22"/>
                <w:szCs w:val="22"/>
              </w:rPr>
              <w:t xml:space="preserve">Operational isolation</w:t>
            </w:r>
          </w:p>
        </w:tc>
      </w:tr>
    </w:tbl>
    <w:p>
      <w:pPr>
        <w:spacing w:after="120"/>
      </w:pPr>
    </w:p>
    <w:p>
      <w:pPr>
        <w:spacing w:after="160"/>
      </w:pPr>
      <w:r>
        <w:rPr>
          <w:color w:val="1A1A2E"/>
        </w:rPr>
        <w:t xml:space="preserve">The system must make no network calls to any host outside the Docker Compose network. This applies to the runtime process, not just application logic — including library telemetry, DNS resolution of external hostnames, and any background thread activity.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DF2F2" w:val="clear"/>
            <w:tcMar>
              <w:top w:type="dxa" w:w="100"/>
              <w:left w:type="dxa" w:w="140"/>
              <w:bottom w:type="dxa" w:w="100"/>
              <w:right w:type="dxa" w:w="140"/>
            </w:tcMar>
          </w:tcPr>
          <w:p>
            <w:r>
              <w:rPr>
                <w:b/>
                <w:bCs/>
                <w:color w:val="8B1A1A"/>
                <w:sz w:val="20"/>
                <w:szCs w:val="20"/>
              </w:rPr>
              <w:t xml:space="preserve">What breaks</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In a restricted network the call fails silently and may cause a timeout that degrades every response. In a security-sensitive environment it is an unexpected egress event that may trigger a compliance alert.</w:t>
            </w:r>
          </w:p>
        </w:tc>
      </w:tr>
      <w:tr>
        <w:tc>
          <w:tcPr>
            <w:tcW w:type="dxa" w:w="16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tcPr>
          <w:p>
            <w:r>
              <w:rPr>
                <w:b/>
                <w:bCs/>
                <w:color w:val="7A5000"/>
                <w:sz w:val="20"/>
                <w:szCs w:val="20"/>
              </w:rPr>
              <w:t xml:space="preserve">How you’d know</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Not from the application. The application may never surface a failed external call — some libraries swallow connection errors on background threads. Visible only in network flow logs or DNS query logs, not in the API response.</w:t>
            </w:r>
          </w:p>
        </w:tc>
      </w:tr>
      <w:tr>
        <w:tc>
          <w:tcPr>
            <w:tcW w:type="dxa" w:w="1600"/>
            <w:tcBorders>
              <w:top w:val="single" w:color="CCCCCC" w:sz="1"/>
              <w:left w:val="single" w:color="CCCCCC" w:sz="1"/>
              <w:bottom w:val="single" w:color="CCCCCC" w:sz="1"/>
              <w:right w:val="single" w:color="CCCCCC" w:sz="1"/>
            </w:tcBorders>
            <w:shd w:fill="F2FAF5" w:val="clear"/>
            <w:tcMar>
              <w:top w:type="dxa" w:w="100"/>
              <w:left w:type="dxa" w:w="140"/>
              <w:bottom w:type="dxa" w:w="100"/>
              <w:right w:type="dxa" w:w="140"/>
            </w:tcMar>
          </w:tcPr>
          <w:p>
            <w:r>
              <w:rPr>
                <w:b/>
                <w:bCs/>
                <w:color w:val="1A5C35"/>
                <w:sz w:val="20"/>
                <w:szCs w:val="20"/>
              </w:rPr>
              <w:t xml:space="preserve">Testable?</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Not through the HTTP interface. Requires network-level assertion: block external egress at the network level in the test environment and assert no connections are dropped, or intercept DNS resolution and assert that no hostname outside the Compose service names is ever resolved. This is infrastructure-level testing, not application-level, and requires test environment configuration.</w:t>
            </w:r>
          </w:p>
        </w:tc>
      </w:tr>
    </w:tbl>
    <w:p>
      <w:pPr>
        <w:spacing w:after="280"/>
      </w:pPr>
    </w:p>
    <w:p>
      <w:pPr>
        <w:pBdr>
          <w:bottom w:val="single" w:color="DDDDDD" w:sz="3" w:space="1"/>
        </w:pBdr>
        <w:spacing w:after="240" w:before="80"/>
      </w:pPr>
    </w:p>
    <w:p>
      <w:pPr>
        <w:pStyle w:val="Heading1"/>
      </w:pPr>
      <w:r>
        <w:t xml:space="preserve">UI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8" w:val="clear"/>
            <w:tcMar>
              <w:top w:type="dxa" w:w="120"/>
              <w:left w:type="dxa" w:w="180"/>
              <w:bottom w:type="dxa" w:w="120"/>
              <w:right w:type="dxa" w:w="180"/>
            </w:tcMar>
          </w:tcPr>
          <w:p>
            <w:r>
              <w:rPr>
                <w:rFonts w:ascii="Courier New" w:cs="Courier New" w:eastAsia="Courier New" w:hAnsi="Courier New"/>
                <w:b/>
                <w:bCs/>
                <w:color w:val="2E5FA3"/>
                <w:sz w:val="22"/>
                <w:szCs w:val="22"/>
              </w:rPr>
              <w:t xml:space="preserve">INV-09  </w:t>
            </w:r>
            <w:r>
              <w:rPr>
                <w:b/>
                <w:bCs/>
                <w:color w:val="1A1A2E"/>
                <w:sz w:val="22"/>
                <w:szCs w:val="22"/>
              </w:rPr>
              <w:t xml:space="preserve">UI fidelity</w:t>
            </w:r>
          </w:p>
        </w:tc>
      </w:tr>
    </w:tbl>
    <w:p>
      <w:pPr>
        <w:spacing w:after="120"/>
      </w:pPr>
    </w:p>
    <w:p>
      <w:pPr>
        <w:spacing w:after="160"/>
      </w:pPr>
      <w:r>
        <w:rPr>
          <w:color w:val="1A1A2E"/>
        </w:rPr>
        <w:t xml:space="preserve">The UI must display exactly what the API returns — tier and factors — with no reinterpretation, relabelling, casing change, sorting, filtering, or enrichment. If the API returns three factors, three factors are shown. If the API returns HIGH, the UI shows HIGH.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DF2F2" w:val="clear"/>
            <w:tcMar>
              <w:top w:type="dxa" w:w="100"/>
              <w:left w:type="dxa" w:w="140"/>
              <w:bottom w:type="dxa" w:w="100"/>
              <w:right w:type="dxa" w:w="140"/>
            </w:tcMar>
          </w:tcPr>
          <w:p>
            <w:r>
              <w:rPr>
                <w:b/>
                <w:bCs/>
                <w:color w:val="8B1A1A"/>
                <w:sz w:val="20"/>
                <w:szCs w:val="20"/>
              </w:rPr>
              <w:t xml:space="preserve">What breaks</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An ops staff member records a tier value from the UI into a downstream system. The downstream system receives the UI’s transformation — ‘High’ instead of ‘HIGH’ — and its own validation rejects or misroutes it. A silently dropped factor means a decision is made without the full risk picture.</w:t>
            </w:r>
          </w:p>
        </w:tc>
      </w:tr>
      <w:tr>
        <w:tc>
          <w:tcPr>
            <w:tcW w:type="dxa" w:w="16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tcPr>
          <w:p>
            <w:r>
              <w:rPr>
                <w:b/>
                <w:bCs/>
                <w:color w:val="7A5000"/>
                <w:sz w:val="20"/>
                <w:szCs w:val="20"/>
              </w:rPr>
              <w:t xml:space="preserve">How you’d know</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From a downstream system error or from a staff member noticing a mismatch. The UI itself has no mechanism to signal that it has transformed anything — it renders what it renders.</w:t>
            </w:r>
          </w:p>
        </w:tc>
      </w:tr>
      <w:tr>
        <w:tc>
          <w:tcPr>
            <w:tcW w:type="dxa" w:w="1600"/>
            <w:tcBorders>
              <w:top w:val="single" w:color="CCCCCC" w:sz="1"/>
              <w:left w:val="single" w:color="CCCCCC" w:sz="1"/>
              <w:bottom w:val="single" w:color="CCCCCC" w:sz="1"/>
              <w:right w:val="single" w:color="CCCCCC" w:sz="1"/>
            </w:tcBorders>
            <w:shd w:fill="F2FAF5" w:val="clear"/>
            <w:tcMar>
              <w:top w:type="dxa" w:w="100"/>
              <w:left w:type="dxa" w:w="140"/>
              <w:bottom w:type="dxa" w:w="100"/>
              <w:right w:type="dxa" w:w="140"/>
            </w:tcMar>
          </w:tcPr>
          <w:p>
            <w:r>
              <w:rPr>
                <w:b/>
                <w:bCs/>
                <w:color w:val="1A5C35"/>
                <w:sz w:val="20"/>
                <w:szCs w:val="20"/>
              </w:rPr>
              <w:t xml:space="preserve">Testable?</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Yes, with a browser-level test. Seed a known customer. Load the UI. Assert that the displayed tier string is exactly the value returned by the API — not a casing variant, not a label substitution. Assert that the number of displayed factors equals the number in the API response. Assert that each displayed factor string is an exact match of the corresponding API response value.</w:t>
            </w:r>
          </w:p>
        </w:tc>
      </w:tr>
      <w:tr>
        <w:tc>
          <w:tcPr>
            <w:tcW w:type="dxa" w:w="1600"/>
            <w:tcBorders>
              <w:top w:val="single" w:color="CCCCCC" w:sz="1"/>
              <w:left w:val="single" w:color="CCCCCC" w:sz="1"/>
              <w:bottom w:val="single" w:color="CCCCCC" w:sz="1"/>
              <w:right w:val="single" w:color="CCCCCC" w:sz="1"/>
            </w:tcBorders>
            <w:shd w:fill="F0F5FF" w:val="clear"/>
            <w:tcMar>
              <w:top w:type="dxa" w:w="100"/>
              <w:left w:type="dxa" w:w="140"/>
              <w:bottom w:type="dxa" w:w="100"/>
              <w:right w:type="dxa" w:w="140"/>
            </w:tcMar>
          </w:tcPr>
          <w:p>
            <w:r>
              <w:rPr>
                <w:b/>
                <w:bCs/>
                <w:color w:val="1A3A6B"/>
                <w:sz w:val="20"/>
                <w:szCs w:val="20"/>
              </w:rPr>
              <w:t xml:space="preserve">Flag</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If the risk factor schema is eventually defined as a structured object with a code and a human-readable description, the UI will display the description. This is acceptable if and only if the API itself returns the human-readable description — so the UI is still mirroring the API response exactly. The invariant holds as long as any field selection happens in the API, not in the UI.</w:t>
            </w:r>
          </w:p>
        </w:tc>
      </w:tr>
    </w:tbl>
    <w:p>
      <w:pPr>
        <w:spacing w:after="280"/>
      </w:pPr>
    </w:p>
    <w:p>
      <w:pPr>
        <w:pBdr>
          <w:bottom w:val="single" w:color="DDDDDD" w:sz="3" w:space="1"/>
        </w:pBdr>
        <w:spacing w:after="240" w:before="80"/>
      </w:pPr>
    </w:p>
    <w:p>
      <w:pPr>
        <w:pStyle w:val="Heading1"/>
      </w:pPr>
      <w:r>
        <w:t xml:space="preserve">Operational Invariants</w:t>
      </w:r>
    </w:p>
    <w:p>
      <w:pPr>
        <w:spacing w:after="160"/>
      </w:pPr>
      <w:r>
        <w:rPr>
          <w:color w:val="666666"/>
        </w:rPr>
        <w:t xml:space="preserve">These invariants are not covered by the nine primary categories but were identified during analysis. Both are testable and both have specific failure modes.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8" w:val="clear"/>
            <w:tcMar>
              <w:top w:type="dxa" w:w="120"/>
              <w:left w:type="dxa" w:w="180"/>
              <w:bottom w:type="dxa" w:w="120"/>
              <w:right w:type="dxa" w:w="180"/>
            </w:tcMar>
          </w:tcPr>
          <w:p>
            <w:r>
              <w:rPr>
                <w:rFonts w:ascii="Courier New" w:cs="Courier New" w:eastAsia="Courier New" w:hAnsi="Courier New"/>
                <w:b/>
                <w:bCs/>
                <w:color w:val="2E5FA3"/>
                <w:sz w:val="22"/>
                <w:szCs w:val="22"/>
              </w:rPr>
              <w:t xml:space="preserve">INV-10  </w:t>
            </w:r>
            <w:r>
              <w:rPr>
                <w:b/>
                <w:bCs/>
                <w:color w:val="1A1A2E"/>
                <w:sz w:val="22"/>
                <w:szCs w:val="22"/>
              </w:rPr>
              <w:t xml:space="preserve">Startup state</w:t>
            </w:r>
          </w:p>
        </w:tc>
      </w:tr>
    </w:tbl>
    <w:p>
      <w:pPr>
        <w:spacing w:after="120"/>
      </w:pPr>
    </w:p>
    <w:p>
      <w:pPr>
        <w:spacing w:after="160"/>
      </w:pPr>
      <w:r>
        <w:rPr>
          <w:color w:val="1A1A2E"/>
        </w:rPr>
        <w:t xml:space="preserve">The FastAPI service must not report itself as healthy or accept traffic until it can successfully reach the database. During the startup window, requests must not return 500s that expose internal detail.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DF2F2" w:val="clear"/>
            <w:tcMar>
              <w:top w:type="dxa" w:w="100"/>
              <w:left w:type="dxa" w:w="140"/>
              <w:bottom w:type="dxa" w:w="100"/>
              <w:right w:type="dxa" w:w="140"/>
            </w:tcMar>
          </w:tcPr>
          <w:p>
            <w:r>
              <w:rPr>
                <w:b/>
                <w:bCs/>
                <w:color w:val="8B1A1A"/>
                <w:sz w:val="20"/>
                <w:szCs w:val="20"/>
              </w:rPr>
              <w:t xml:space="preserve">What breaks</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A monitoring system or load balancer that checks HTTP reachability marks the service healthy before it can serve data. The first real requests fail with 500s that are logged as application errors rather than startup transients, masking a configuration problem.</w:t>
            </w:r>
          </w:p>
        </w:tc>
      </w:tr>
      <w:tr>
        <w:tc>
          <w:tcPr>
            <w:tcW w:type="dxa" w:w="16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tcPr>
          <w:p>
            <w:r>
              <w:rPr>
                <w:b/>
                <w:bCs/>
                <w:color w:val="7A5000"/>
                <w:sz w:val="20"/>
                <w:szCs w:val="20"/>
              </w:rPr>
              <w:t xml:space="preserve">How you’d know</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From a spike of 500s in the first seconds after deployment, or from a monitoring alert that fires immediately after docker compose up and resolves itself. Without startup-window awareness, this looks like an intermittent application bug.</w:t>
            </w:r>
          </w:p>
        </w:tc>
      </w:tr>
      <w:tr>
        <w:tc>
          <w:tcPr>
            <w:tcW w:type="dxa" w:w="1600"/>
            <w:tcBorders>
              <w:top w:val="single" w:color="CCCCCC" w:sz="1"/>
              <w:left w:val="single" w:color="CCCCCC" w:sz="1"/>
              <w:bottom w:val="single" w:color="CCCCCC" w:sz="1"/>
              <w:right w:val="single" w:color="CCCCCC" w:sz="1"/>
            </w:tcBorders>
            <w:shd w:fill="F2FAF5" w:val="clear"/>
            <w:tcMar>
              <w:top w:type="dxa" w:w="100"/>
              <w:left w:type="dxa" w:w="140"/>
              <w:bottom w:type="dxa" w:w="100"/>
              <w:right w:type="dxa" w:w="140"/>
            </w:tcMar>
          </w:tcPr>
          <w:p>
            <w:r>
              <w:rPr>
                <w:b/>
                <w:bCs/>
                <w:color w:val="1A5C35"/>
                <w:sz w:val="20"/>
                <w:szCs w:val="20"/>
              </w:rPr>
              <w:t xml:space="preserve">Testable?</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Yes. Start the FastAPI container with Postgres deliberately delayed. Send a request immediately. Assert the response is not a 500 that exposes internal detail. Assert the service does not report itself as healthy until it can reach the database. Requires either a readiness endpoint on the FastAPI container or a Compose healthcheck that gates on a successful DB query, not just on Postgres port availability.</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8" w:val="clear"/>
            <w:tcMar>
              <w:top w:type="dxa" w:w="120"/>
              <w:left w:type="dxa" w:w="180"/>
              <w:bottom w:type="dxa" w:w="120"/>
              <w:right w:type="dxa" w:w="180"/>
            </w:tcMar>
          </w:tcPr>
          <w:p>
            <w:r>
              <w:rPr>
                <w:rFonts w:ascii="Courier New" w:cs="Courier New" w:eastAsia="Courier New" w:hAnsi="Courier New"/>
                <w:b/>
                <w:bCs/>
                <w:color w:val="2E5FA3"/>
                <w:sz w:val="22"/>
                <w:szCs w:val="22"/>
              </w:rPr>
              <w:t xml:space="preserve">INV-11  </w:t>
            </w:r>
            <w:r>
              <w:rPr>
                <w:b/>
                <w:bCs/>
                <w:color w:val="1A1A2E"/>
                <w:sz w:val="22"/>
                <w:szCs w:val="22"/>
              </w:rPr>
              <w:t xml:space="preserve">Seed data integrity</w:t>
            </w:r>
          </w:p>
        </w:tc>
      </w:tr>
    </w:tbl>
    <w:p>
      <w:pPr>
        <w:spacing w:after="120"/>
      </w:pPr>
    </w:p>
    <w:p>
      <w:pPr>
        <w:spacing w:after="160"/>
      </w:pPr>
      <w:r>
        <w:rPr>
          <w:color w:val="1A1A2E"/>
        </w:rPr>
        <w:t xml:space="preserve">The seed script must be idempotent. Running docker compose up against an existing volume must produce the same database state as the first run. The API’s behaviour for a customer ID that matches multiple rows is undefined and must be prevented structurally.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DF2F2" w:val="clear"/>
            <w:tcMar>
              <w:top w:type="dxa" w:w="100"/>
              <w:left w:type="dxa" w:w="140"/>
              <w:bottom w:type="dxa" w:w="100"/>
              <w:right w:type="dxa" w:w="140"/>
            </w:tcMar>
          </w:tcPr>
          <w:p>
            <w:r>
              <w:rPr>
                <w:b/>
                <w:bCs/>
                <w:color w:val="8B1A1A"/>
                <w:sz w:val="20"/>
                <w:szCs w:val="20"/>
              </w:rPr>
              <w:t xml:space="preserve">What breaks</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A second docker compose up on an existing volume produces duplicate rows. The API’s behaviour for a duplicated customer ID is undefined — it may return the first row, the last, raise an exception, or return both. Any of these violates data correctness.</w:t>
            </w:r>
          </w:p>
        </w:tc>
      </w:tr>
      <w:tr>
        <w:tc>
          <w:tcPr>
            <w:tcW w:type="dxa" w:w="1600"/>
            <w:tcBorders>
              <w:top w:val="single" w:color="CCCCCC" w:sz="1"/>
              <w:left w:val="single" w:color="CCCCCC" w:sz="1"/>
              <w:bottom w:val="single" w:color="CCCCCC" w:sz="1"/>
              <w:right w:val="single" w:color="CCCCCC" w:sz="1"/>
            </w:tcBorders>
            <w:shd w:fill="FFFBF0" w:val="clear"/>
            <w:tcMar>
              <w:top w:type="dxa" w:w="100"/>
              <w:left w:type="dxa" w:w="140"/>
              <w:bottom w:type="dxa" w:w="100"/>
              <w:right w:type="dxa" w:w="140"/>
            </w:tcMar>
          </w:tcPr>
          <w:p>
            <w:r>
              <w:rPr>
                <w:b/>
                <w:bCs/>
                <w:color w:val="7A5000"/>
                <w:sz w:val="20"/>
                <w:szCs w:val="20"/>
              </w:rPr>
              <w:t xml:space="preserve">How you’d know</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From a data correctness test that runs after a second docker compose up on a non-empty volume. In normal single-run usage this is not visible.</w:t>
            </w:r>
          </w:p>
        </w:tc>
      </w:tr>
      <w:tr>
        <w:tc>
          <w:tcPr>
            <w:tcW w:type="dxa" w:w="1600"/>
            <w:tcBorders>
              <w:top w:val="single" w:color="CCCCCC" w:sz="1"/>
              <w:left w:val="single" w:color="CCCCCC" w:sz="1"/>
              <w:bottom w:val="single" w:color="CCCCCC" w:sz="1"/>
              <w:right w:val="single" w:color="CCCCCC" w:sz="1"/>
            </w:tcBorders>
            <w:shd w:fill="F2FAF5" w:val="clear"/>
            <w:tcMar>
              <w:top w:type="dxa" w:w="100"/>
              <w:left w:type="dxa" w:w="140"/>
              <w:bottom w:type="dxa" w:w="100"/>
              <w:right w:type="dxa" w:w="140"/>
            </w:tcMar>
          </w:tcPr>
          <w:p>
            <w:r>
              <w:rPr>
                <w:b/>
                <w:bCs/>
                <w:color w:val="1A5C35"/>
                <w:sz w:val="20"/>
                <w:szCs w:val="20"/>
              </w:rPr>
              <w:t xml:space="preserve">Testable?</w:t>
            </w:r>
          </w:p>
        </w:tc>
        <w:tc>
          <w:tcPr>
            <w:tcW w:type="dxa" w:w="7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color w:val="1A1A2E"/>
                <w:sz w:val="20"/>
                <w:szCs w:val="20"/>
              </w:rPr>
              <w:t xml:space="preserve">Yes. Run the seed script twice against the same database. Assert that the row count is identical after both runs. Assert that the API returns a single well-formed response for each seeded customer ID with no change in the response between the first and second run.</w:t>
            </w:r>
          </w:p>
        </w:tc>
      </w:tr>
    </w:tbl>
    <w:p>
      <w:pPr>
        <w:spacing w:after="280"/>
      </w:pPr>
    </w:p>
    <w:p>
      <w:pPr>
        <w:pBdr>
          <w:bottom w:val="single" w:color="DDDDDD" w:sz="3" w:space="1"/>
        </w:pBdr>
        <w:spacing w:after="240" w:before="80"/>
      </w:pPr>
    </w:p>
    <w:p>
      <w:pPr>
        <w:pStyle w:val="Heading1"/>
      </w:pPr>
      <w:r>
        <w:t xml:space="preserve">Invariant Gaps and Open Conditions</w:t>
      </w:r>
    </w:p>
    <w:p>
      <w:pPr>
        <w:spacing w:after="160"/>
      </w:pPr>
      <w:r>
        <w:rPr>
          <w:color w:val="1A1A2E"/>
        </w:rPr>
        <w:t xml:space="preserve">The following conditions were identified as invariants that cannot be fully specified or tested until open questions from the brief are resolved.</w:t>
      </w:r>
    </w:p>
    <w:p>
      <w:pPr>
        <w:spacing w:after="80"/>
      </w:pPr>
    </w:p>
    <w:p>
      <w:pPr>
        <w:pStyle w:val="Heading2"/>
      </w:pPr>
      <w:r>
        <w:t xml:space="preserve">Customer ID format validation (partially testable)</w:t>
      </w:r>
    </w:p>
    <w:p>
      <w:pPr>
        <w:spacing w:after="160"/>
      </w:pPr>
      <w:r>
        <w:rPr>
          <w:color w:val="1A1A2E"/>
        </w:rPr>
        <w:t xml:space="preserve">A malformed customer ID — wrong type, too long, SQL metacharacters, empty string — must return 422, not 404, not 500, and not a SQL error. The 422 body must conform to the error envelope with no internal detail.</w:t>
      </w:r>
    </w:p>
    <w:p>
      <w:pPr>
        <w:spacing w:after="160"/>
      </w:pPr>
      <w:r>
        <w:rPr>
          <w:color w:val="1A1A2E"/>
        </w:rPr>
        <w:t xml:space="preserve">This is partially testable now: send an empty string, a 10,000-character string, a string containing single quotes and semicolons, and assert each returns 422 with a clean body. The full invariant — including what constitutes a ‘valid’ customer ID format — cannot be specified until the customer ID format is resolved (ARCHITECTURE.md §6).</w:t>
      </w:r>
    </w:p>
    <w:p>
      <w:pPr>
        <w:spacing w:after="80"/>
      </w:pPr>
    </w:p>
    <w:p>
      <w:pPr>
        <w:pStyle w:val="Heading2"/>
      </w:pPr>
      <w:r>
        <w:t xml:space="preserve">Risk factor element shape (not yet testable)</w:t>
      </w:r>
    </w:p>
    <w:p>
      <w:pPr>
        <w:spacing w:after="160"/>
      </w:pPr>
      <w:r>
        <w:rPr>
          <w:color w:val="1A1A2E"/>
        </w:rPr>
        <w:t xml:space="preserve">If risk factors are structured objects rather than plain strings, INV-04 (response shape) extends into each element of the risk_factors list. The inner shape invariant — required fields, field types, value constraints — cannot be written until the schema is defined.</w:t>
      </w:r>
    </w:p>
    <w:p>
      <w:pPr>
        <w:spacing w:after="160"/>
      </w:pPr>
      <w:r>
        <w:rPr>
          <w:color w:val="1A1A2E"/>
        </w:rPr>
        <w:t xml:space="preserve">Blocked by: risk factor schema definition (ARCHITECTURE.md §6, blocking item 1).</w:t>
      </w:r>
    </w:p>
    <w:p>
      <w:pPr>
        <w:spacing w:after="80"/>
      </w:pPr>
    </w:p>
    <w:p>
      <w:pPr>
        <w:pStyle w:val="Heading2"/>
      </w:pPr>
      <w:r>
        <w:t xml:space="preserve">Concurrent request behaviour (not specified)</w:t>
      </w:r>
    </w:p>
    <w:p>
      <w:pPr>
        <w:spacing w:after="160"/>
      </w:pPr>
      <w:r>
        <w:rPr>
          <w:color w:val="1A1A2E"/>
        </w:rPr>
        <w:t xml:space="preserve">No invariant currently covers what happens when multiple requests arrive simultaneously. The psycopg2 connection model under concurrency is flagged in ARCHITECTURE.md as a known risk. Whether INV-01 (data correctness) and INV-03 (mutability) hold under concurrent load is not addressed by any current test.</w:t>
      </w:r>
    </w:p>
    <w:p>
      <w:pPr>
        <w:spacing w:after="160"/>
      </w:pPr>
      <w:r>
        <w:rPr>
          <w:color w:val="1A1A2E"/>
        </w:rPr>
        <w:t xml:space="preserve">A connection pool misconfiguration that causes requests to share a transaction could produce reads of uncommitted state, violating INV-01. This is a candidate for an additional invariant if the system sees any meaningful concurrent use.</w:t>
      </w:r>
    </w:p>
    <w:p>
      <w:pPr>
        <w:spacing w:after="240"/>
      </w:pPr>
    </w:p>
    <w:p>
      <w:pPr>
        <w:pBdr>
          <w:bottom w:val="single" w:color="DDDDDD" w:sz="3" w:space="1"/>
        </w:pBdr>
        <w:spacing w:after="240" w:before="80"/>
      </w:pPr>
    </w:p>
    <w:p>
      <w:pPr>
        <w:pStyle w:val="Heading1"/>
      </w:pPr>
      <w:r>
        <w:t xml:space="preserve">Invariant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960"/>
      </w:tblGrid>
      <w:tr>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Invariant</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Category</w:t>
            </w:r>
          </w:p>
        </w:tc>
        <w:tc>
          <w:tcPr>
            <w:tcW w:type="dxa" w:w="2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Testable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E5FA3"/>
                <w:sz w:val="20"/>
                <w:szCs w:val="20"/>
              </w:rPr>
              <w:t xml:space="preserve">INV-01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Data correctness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Yes — exact match on seeded rows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ourier New" w:cs="Courier New" w:eastAsia="Courier New" w:hAnsi="Courier New"/>
                <w:b/>
                <w:bCs/>
                <w:color w:val="2E5FA3"/>
                <w:sz w:val="20"/>
                <w:szCs w:val="20"/>
              </w:rPr>
              <w:t xml:space="preserve">INV-02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Existence mapping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Data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Yes — 200 / 404 split + body check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E5FA3"/>
                <w:sz w:val="20"/>
                <w:szCs w:val="20"/>
              </w:rPr>
              <w:t xml:space="preserve">INV-03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Mutability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Yes — full DB snapshot before/after</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ourier New" w:cs="Courier New" w:eastAsia="Courier New" w:hAnsi="Courier New"/>
                <w:b/>
                <w:bCs/>
                <w:color w:val="2E5FA3"/>
                <w:sz w:val="20"/>
                <w:szCs w:val="20"/>
              </w:rPr>
              <w:t xml:space="preserve">INV-04</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Response shape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Contract</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Partial — factor element shape blocked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E5FA3"/>
                <w:sz w:val="20"/>
                <w:szCs w:val="20"/>
              </w:rPr>
              <w:t xml:space="preserve">INV-05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Security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Yes — full endpoint matrix</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ourier New" w:cs="Courier New" w:eastAsia="Courier New" w:hAnsi="Courier New"/>
                <w:b/>
                <w:bCs/>
                <w:color w:val="2E5FA3"/>
                <w:sz w:val="20"/>
                <w:szCs w:val="20"/>
              </w:rPr>
              <w:t xml:space="preserve">INV-06</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Credential handling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Security</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Partial — logs require separate test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E5FA3"/>
                <w:sz w:val="20"/>
                <w:szCs w:val="20"/>
              </w:rPr>
              <w:t xml:space="preserve">INV-07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Error surfaces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Security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Yes — forced failure + allowlist scan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ourier New" w:cs="Courier New" w:eastAsia="Courier New" w:hAnsi="Courier New"/>
                <w:b/>
                <w:bCs/>
                <w:color w:val="2E5FA3"/>
                <w:sz w:val="20"/>
                <w:szCs w:val="20"/>
              </w:rPr>
              <w:t xml:space="preserve">INV-08</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Operational isolation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Isolation</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Yes — network-level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E5FA3"/>
                <w:sz w:val="20"/>
                <w:szCs w:val="20"/>
              </w:rPr>
              <w:t xml:space="preserve">INV-09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UI fidelity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UI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Yes — browser-level assertion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ourier New" w:cs="Courier New" w:eastAsia="Courier New" w:hAnsi="Courier New"/>
                <w:b/>
                <w:bCs/>
                <w:color w:val="2E5FA3"/>
                <w:sz w:val="20"/>
                <w:szCs w:val="20"/>
              </w:rPr>
              <w:t xml:space="preserve">INV-10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Startup state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Operational</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Yes — delayed Postgres start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2E5FA3"/>
                <w:sz w:val="20"/>
                <w:szCs w:val="20"/>
              </w:rPr>
              <w:t xml:space="preserve">INV-11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Seed data integrity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Operational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Yes — double-seed + assert</w:t>
            </w:r>
          </w:p>
        </w:tc>
      </w:tr>
    </w:tbl>
    <w:p>
      <w:pPr>
        <w:spacing w:after="240"/>
      </w:pPr>
    </w:p>
    <w:p>
      <w:pPr>
        <w:pBdr>
          <w:bottom w:val="single" w:color="DDDDDD" w:sz="3" w:space="1"/>
        </w:pBdr>
        <w:spacing w:after="240" w:before="80"/>
      </w:pPr>
    </w:p>
    <w:p>
      <w:pPr>
        <w:jc w:val="right"/>
      </w:pPr>
      <w:r>
        <w:rPr>
          <w:color w:val="999999"/>
          <w:sz w:val="18"/>
          <w:szCs w:val="18"/>
        </w:rPr>
        <w:t xml:space="preserve">Customer Risk API  ·  v1.0  ·  Training Demo System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99999"/>
        <w:sz w:val="18"/>
        <w:szCs w:val="18"/>
      </w:rPr>
      <w:t xml:space="preserve">Customer Risk API  ·  Invariants  ·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4" w:space="4"/>
      </w:pBdr>
      <w:spacing w:after="200" w:before="560"/>
      <w:outlineLvl w:val="0"/>
    </w:pPr>
    <w:rPr>
      <w:rFonts w:ascii="Arial" w:cs="Arial" w:eastAsia="Arial" w:hAnsi="Arial"/>
      <w:b/>
      <w:bCs/>
      <w:color w:val="1A1A2E"/>
      <w:sz w:val="34"/>
      <w:szCs w:val="34"/>
    </w:rPr>
  </w:style>
  <w:style w:type="paragraph" w:styleId="Heading2">
    <w:name w:val="Heading 2"/>
    <w:basedOn w:val="Normal"/>
    <w:next w:val="Normal"/>
    <w:qFormat/>
    <w:pPr>
      <w:spacing w:after="160" w:before="40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80"/>
      <w:outlineLvl w:val="2"/>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2026-03-30T08:29:16.315Z</dcterms:created>
  <dcterms:modified xsi:type="dcterms:W3CDTF">2026-03-30T08:29:16.316Z</dcterms:modified>
</cp:coreProperties>
</file>

<file path=docProps/custom.xml><?xml version="1.0" encoding="utf-8"?>
<Properties xmlns="http://schemas.openxmlformats.org/officeDocument/2006/custom-properties" xmlns:vt="http://schemas.openxmlformats.org/officeDocument/2006/docPropsVTypes"/>
</file>