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2"/>
          <w:szCs w:val="32"/>
        </w:rPr>
        <w:t xml:space="preserve">CLAUDE.MD — EXECUTION CONTRACT</w:t>
      </w:r>
    </w:p>
    <w:p>
      <w:pPr>
        <w:pBdr>
          <w:bottom w:val="single" w:color="1F3864" w:sz="6" w:space="1"/>
        </w:pBdr>
        <w:spacing w:after="40" w:before="0"/>
      </w:pPr>
      <w:r>
        <w:rPr>
          <w:rFonts w:ascii="Arial" w:cs="Arial" w:eastAsia="Arial" w:hAnsi="Arial"/>
          <w:i/>
          <w:iCs/>
          <w:color w:val="555555"/>
          <w:sz w:val="18"/>
          <w:szCs w:val="18"/>
        </w:rPr>
        <w:t xml:space="preserve">Customer Risk API  ·  v1.0  ·  Training Demo System</w:t>
      </w:r>
    </w:p>
    <w:p>
      <w:pPr>
        <w:spacing w:after="0" w:before="80"/>
      </w:pPr>
    </w:p>
    <w:p>
      <w:pPr>
        <w:spacing w:after="80" w:before="240"/>
      </w:pPr>
      <w:r>
        <w:rPr>
          <w:rFonts w:ascii="Arial" w:cs="Arial" w:eastAsia="Arial" w:hAnsi="Arial"/>
          <w:b/>
          <w:bCs/>
          <w:color w:val="1F3864"/>
          <w:sz w:val="26"/>
          <w:szCs w:val="26"/>
        </w:rPr>
        <w:t xml:space="preserve">1. System Intent</w:t>
      </w:r>
    </w:p>
    <w:p>
      <w:pPr>
        <w:spacing w:after="40" w:before="40"/>
      </w:pPr>
      <w:r>
        <w:rPr>
          <w:rFonts w:ascii="Arial" w:cs="Arial" w:eastAsia="Arial" w:hAnsi="Arial"/>
          <w:b w:val="false"/>
          <w:bCs w:val="false"/>
          <w:i w:val="false"/>
          <w:iCs w:val="false"/>
          <w:color w:val="000000"/>
          <w:sz w:val="18"/>
          <w:szCs w:val="18"/>
        </w:rPr>
        <w:t xml:space="preserve">This system accepts a customer_id, looks it up in a pre-seeded Postgres database, and returns the customer's risk tier (LOW / MEDIUM / HIGH) and ordered risk factors as structured JSON. It does not compute, infer, or modify risk data — it is a read-only access layer over pre-assessed values. Success means any ops staff member can query a customer's risk status via a browser UI or authenticated API call and receive exactly the data stored in the database, with no transformation and no direct database access.</w:t>
      </w:r>
    </w:p>
    <w:p>
      <w:pPr>
        <w:spacing w:after="0" w:before="60"/>
      </w:pPr>
    </w:p>
    <w:p>
      <w:pPr>
        <w:pBdr>
          <w:bottom w:val="single" w:color="CCCCCC" w:sz="4" w:space="1"/>
        </w:pBdr>
        <w:spacing w:after="80" w:before="80"/>
      </w:pPr>
    </w:p>
    <w:p>
      <w:pPr>
        <w:spacing w:after="80" w:before="240"/>
      </w:pPr>
      <w:r>
        <w:rPr>
          <w:rFonts w:ascii="Arial" w:cs="Arial" w:eastAsia="Arial" w:hAnsi="Arial"/>
          <w:b/>
          <w:bCs/>
          <w:color w:val="1F3864"/>
          <w:sz w:val="26"/>
          <w:szCs w:val="26"/>
        </w:rPr>
        <w:t xml:space="preserve">2. Hard Invariants</w:t>
      </w:r>
    </w:p>
    <w:p>
      <w:pPr>
        <w:spacing w:after="40" w:before="40"/>
      </w:pPr>
      <w:r>
        <w:rPr>
          <w:rFonts w:ascii="Arial" w:cs="Arial" w:eastAsia="Arial" w:hAnsi="Arial"/>
          <w:b/>
          <w:bCs/>
          <w:i w:val="false"/>
          <w:iCs w:val="false"/>
          <w:color w:val="000000"/>
          <w:sz w:val="18"/>
          <w:szCs w:val="18"/>
        </w:rPr>
        <w:t xml:space="preserve">Every invariant below must hold at all times during system operation. If a task prompt conflicts with an invariant: the invariant wins. Flag the conflict — do not resolve it silently.</w:t>
      </w:r>
    </w:p>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INV-01</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For every customer ID that exists in the database, the API must return exactly the tier and factors stored for that customer — no transformation, no inference, no default substitution, no reordering. Projection must be lossless and order-preserving.</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INV-02</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A customer ID that exists must return 200. A customer ID that does not exist must return 404. These are the only two valid outcomes for a well-formed request to the customer endpoint. A 200 for a non-existent customer is a false and actionable claim.</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INV-03</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No request to the API must result in any write, update, or delete operation on the database. This includes side effects — no audit log writes, no access counters, no session records, in any table.</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INV-04</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Every 200 response must contain exactly three fields: customer_id (string), risk_tier (one of LOW / MEDIUM / HIGH, no whitespace variants), and risk_factors (a list, never null, never absent, even if empty). No additional fields. No missing fields. No type variations.</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INV-05</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No request to any endpoint — including the UI route, error routes, /docs, /openapi.json, /redoc, and any undocumented route — must return customer data or API schema without a valid API key. A missing key returns 401. An invalid key returns 401.</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INV-06</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The API key must never appear in any HTTP response body, response header, log line, error message, or stack trace. It must never be present in client-side JavaScript, HTML source, or any asset served to the browser.</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INV-07</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Error responses must not contain stack traces, database error messages, SQL fragments, table names, column names, internal hostnames, Python exception class names, or any information about the system's internal structure. A 500 response must contain only a generic message conforming to the error envelope.</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INV-08</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The system must make no network calls to any host outside the Docker Compose network. This applies to the runtime process — including library telemetry, DNS resolution of external hostnames, and any background thread activity.</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INV-09</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The UI must display exactly what the API returns — tier and factors — with no reinterpretation, relabelling, casing change, sorting, filtering, or enrichment. If the API returns three factors, three factors are shown. If the API returns HIGH, the UI shows HIGH.</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INV-10</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The FastAPI service must not report itself as healthy or accept traffic until it can successfully reach the database. During the startup window, requests must not return 500s that expose internal detail.</w:t>
            </w:r>
          </w:p>
          <w:p>
            <w:pPr>
              <w:spacing w:before="40"/>
            </w:pPr>
            <w:r>
              <w:rPr>
                <w:rFonts w:ascii="Arial" w:cs="Arial" w:eastAsia="Arial" w:hAnsi="Arial"/>
                <w:b/>
                <w:bCs/>
                <w:i/>
                <w:iCs/>
                <w:color w:val="C00000"/>
                <w:sz w:val="17"/>
                <w:szCs w:val="17"/>
              </w:rPr>
              <w:t xml:space="preserve">This is never negotiable.</w:t>
            </w:r>
          </w:p>
        </w:tc>
      </w:tr>
    </w:tbl>
    <w:p>
      <w:pPr>
        <w:spacing w:after="0" w:before="5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INV-11</w:t>
            </w:r>
          </w:p>
        </w:tc>
        <w:tc>
          <w:tcPr>
            <w:tcW w:type="dxa" w:w="8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1A"/>
                <w:sz w:val="17"/>
                <w:szCs w:val="17"/>
              </w:rPr>
              <w:t xml:space="preserve">The seed script must be idempotent. Running docker compose up against an existing volume must produce the same database state as the first run. Duplicate rows are never permitted.</w:t>
            </w:r>
          </w:p>
          <w:p>
            <w:pPr>
              <w:spacing w:before="40"/>
            </w:pPr>
            <w:r>
              <w:rPr>
                <w:rFonts w:ascii="Arial" w:cs="Arial" w:eastAsia="Arial" w:hAnsi="Arial"/>
                <w:b/>
                <w:bCs/>
                <w:i/>
                <w:iCs/>
                <w:color w:val="C00000"/>
                <w:sz w:val="17"/>
                <w:szCs w:val="17"/>
              </w:rPr>
              <w:t xml:space="preserve">This is never negotiable.</w:t>
            </w:r>
          </w:p>
        </w:tc>
      </w:tr>
    </w:tbl>
    <w:p>
      <w:pPr>
        <w:spacing w:after="0" w:before="60"/>
      </w:pPr>
    </w:p>
    <w:p>
      <w:pPr>
        <w:pBdr>
          <w:bottom w:val="single" w:color="CCCCCC" w:sz="4" w:space="1"/>
        </w:pBdr>
        <w:spacing w:after="80" w:before="80"/>
      </w:pPr>
    </w:p>
    <w:p>
      <w:pPr>
        <w:spacing w:after="80" w:before="240"/>
      </w:pPr>
      <w:r>
        <w:rPr>
          <w:rFonts w:ascii="Arial" w:cs="Arial" w:eastAsia="Arial" w:hAnsi="Arial"/>
          <w:b/>
          <w:bCs/>
          <w:color w:val="1F3864"/>
          <w:sz w:val="26"/>
          <w:szCs w:val="26"/>
        </w:rPr>
        <w:t xml:space="preserve">3. Scope Boundary</w:t>
      </w:r>
    </w:p>
    <w:p>
      <w:pPr>
        <w:spacing w:after="40" w:before="40"/>
      </w:pPr>
      <w:r>
        <w:rPr>
          <w:rFonts w:ascii="Arial" w:cs="Arial" w:eastAsia="Arial" w:hAnsi="Arial"/>
          <w:b w:val="false"/>
          <w:bCs w:val="false"/>
          <w:i w:val="false"/>
          <w:iCs w:val="false"/>
          <w:color w:val="000000"/>
          <w:sz w:val="18"/>
          <w:szCs w:val="18"/>
        </w:rPr>
        <w:t xml:space="preserve">Claude Code is authorised to build and modify exactly the following files and components: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customer-risk-api/</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Root: docker-compose.yml, .env.example, README.md</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db/migrations/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001_schema.sql — schema only, no triggers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db/seed/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seed.sql — 9 deterministic records, idempotent</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api/Dockerfile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python:3.11-slim base, uvicorn entrypoint</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api/requirements.txt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Exact pinned versions as specified</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api/app/main.py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FastAPI app, startup handler, exception handlers, route registration, static mount</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api/app/db.py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psycopg2 SimpleConnectionPool, get_conn(), release_conn()</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api/app/auth.py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APIKeyHeader dependency, verify_api_key()</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api/app/routers/customers.py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GET /api/v1/customers/{customer_id} + /ui/lookup</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api/app/static/index.html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Vanilla HTML/JS UI — no framework, no CDN</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tests/*.py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All test files as specified in the execution plan</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tests/audit_error_surfaces.sh</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Shell audit script</w:t>
            </w:r>
          </w:p>
        </w:tc>
      </w:tr>
    </w:tbl>
    <w:p>
      <w:pPr>
        <w:spacing w:after="0" w:before="60"/>
      </w:pPr>
    </w:p>
    <w:p>
      <w:pPr>
        <w:spacing w:after="40" w:before="40"/>
      </w:pPr>
      <w:r>
        <w:rPr>
          <w:rFonts w:ascii="Arial" w:cs="Arial" w:eastAsia="Arial" w:hAnsi="Arial"/>
          <w:b/>
          <w:bCs/>
          <w:i w:val="false"/>
          <w:iCs w:val="false"/>
          <w:color w:val="000000"/>
          <w:sz w:val="18"/>
          <w:szCs w:val="18"/>
        </w:rPr>
        <w:t xml:space="preserve">Claude Code must not do any of the following:</w:t>
      </w:r>
    </w:p>
    <w:p>
      <w:pPr>
        <w:pStyle w:val="ListParagraph"/>
        <w:numPr>
          <w:ilvl w:val="0"/>
          <w:numId w:val="2"/>
        </w:numPr>
        <w:spacing w:after="30" w:before="30"/>
      </w:pPr>
      <w:r>
        <w:rPr>
          <w:rFonts w:ascii="Arial" w:cs="Arial" w:eastAsia="Arial" w:hAnsi="Arial"/>
          <w:b w:val="false"/>
          <w:bCs w:val="false"/>
          <w:sz w:val="17"/>
          <w:szCs w:val="17"/>
        </w:rPr>
        <w:t xml:space="preserve">Add write, update, or delete endpoints — the system is read-only</w:t>
      </w:r>
    </w:p>
    <w:p>
      <w:pPr>
        <w:pStyle w:val="ListParagraph"/>
        <w:numPr>
          <w:ilvl w:val="0"/>
          <w:numId w:val="2"/>
        </w:numPr>
        <w:spacing w:after="30" w:before="30"/>
      </w:pPr>
      <w:r>
        <w:rPr>
          <w:rFonts w:ascii="Arial" w:cs="Arial" w:eastAsia="Arial" w:hAnsi="Arial"/>
          <w:b w:val="false"/>
          <w:bCs w:val="false"/>
          <w:sz w:val="17"/>
          <w:szCs w:val="17"/>
        </w:rPr>
        <w:t xml:space="preserve">Add ORM layers — psycopg2 direct queries only</w:t>
      </w:r>
    </w:p>
    <w:p>
      <w:pPr>
        <w:pStyle w:val="ListParagraph"/>
        <w:numPr>
          <w:ilvl w:val="0"/>
          <w:numId w:val="2"/>
        </w:numPr>
        <w:spacing w:after="30" w:before="30"/>
      </w:pPr>
      <w:r>
        <w:rPr>
          <w:rFonts w:ascii="Arial" w:cs="Arial" w:eastAsia="Arial" w:hAnsi="Arial"/>
          <w:b w:val="false"/>
          <w:bCs w:val="false"/>
          <w:sz w:val="17"/>
          <w:szCs w:val="17"/>
        </w:rPr>
        <w:t xml:space="preserve">Add a third container, proxy layer, or Nginx service</w:t>
      </w:r>
    </w:p>
    <w:p>
      <w:pPr>
        <w:pStyle w:val="ListParagraph"/>
        <w:numPr>
          <w:ilvl w:val="0"/>
          <w:numId w:val="2"/>
        </w:numPr>
        <w:spacing w:after="30" w:before="30"/>
      </w:pPr>
      <w:r>
        <w:rPr>
          <w:rFonts w:ascii="Arial" w:cs="Arial" w:eastAsia="Arial" w:hAnsi="Arial"/>
          <w:b w:val="false"/>
          <w:bCs w:val="false"/>
          <w:sz w:val="17"/>
          <w:szCs w:val="17"/>
        </w:rPr>
        <w:t xml:space="preserve">Expose the Postgres port to the host</w:t>
      </w:r>
    </w:p>
    <w:p>
      <w:pPr>
        <w:pStyle w:val="ListParagraph"/>
        <w:numPr>
          <w:ilvl w:val="0"/>
          <w:numId w:val="2"/>
        </w:numPr>
        <w:spacing w:after="30" w:before="30"/>
      </w:pPr>
      <w:r>
        <w:rPr>
          <w:rFonts w:ascii="Arial" w:cs="Arial" w:eastAsia="Arial" w:hAnsi="Arial"/>
          <w:b w:val="false"/>
          <w:bCs w:val="false"/>
          <w:sz w:val="17"/>
          <w:szCs w:val="17"/>
        </w:rPr>
        <w:t xml:space="preserve">Hardcode secrets — all credentials via environment variables</w:t>
      </w:r>
    </w:p>
    <w:p>
      <w:pPr>
        <w:pStyle w:val="ListParagraph"/>
        <w:numPr>
          <w:ilvl w:val="0"/>
          <w:numId w:val="2"/>
        </w:numPr>
        <w:spacing w:after="30" w:before="30"/>
      </w:pPr>
      <w:r>
        <w:rPr>
          <w:rFonts w:ascii="Arial" w:cs="Arial" w:eastAsia="Arial" w:hAnsi="Arial"/>
          <w:b w:val="false"/>
          <w:bCs w:val="false"/>
          <w:sz w:val="17"/>
          <w:szCs w:val="17"/>
        </w:rPr>
        <w:t xml:space="preserve">Add frontend frameworks, CDN dependencies, or external script tags</w:t>
      </w:r>
    </w:p>
    <w:p>
      <w:pPr>
        <w:pStyle w:val="ListParagraph"/>
        <w:numPr>
          <w:ilvl w:val="0"/>
          <w:numId w:val="2"/>
        </w:numPr>
        <w:spacing w:after="30" w:before="30"/>
      </w:pPr>
      <w:r>
        <w:rPr>
          <w:rFonts w:ascii="Arial" w:cs="Arial" w:eastAsia="Arial" w:hAnsi="Arial"/>
          <w:b w:val="false"/>
          <w:bCs w:val="false"/>
          <w:sz w:val="17"/>
          <w:szCs w:val="17"/>
        </w:rPr>
        <w:t xml:space="preserve">Enable /docs, /redoc, or /openapi.json routes</w:t>
      </w:r>
    </w:p>
    <w:p>
      <w:pPr>
        <w:pStyle w:val="ListParagraph"/>
        <w:numPr>
          <w:ilvl w:val="0"/>
          <w:numId w:val="2"/>
        </w:numPr>
        <w:spacing w:after="30" w:before="30"/>
      </w:pPr>
      <w:r>
        <w:rPr>
          <w:rFonts w:ascii="Arial" w:cs="Arial" w:eastAsia="Arial" w:hAnsi="Arial"/>
          <w:b w:val="false"/>
          <w:bCs w:val="false"/>
          <w:sz w:val="17"/>
          <w:szCs w:val="17"/>
        </w:rPr>
        <w:t xml:space="preserve">Add business logic that computes or modifies risk assessments</w:t>
      </w:r>
    </w:p>
    <w:p>
      <w:pPr>
        <w:pStyle w:val="ListParagraph"/>
        <w:numPr>
          <w:ilvl w:val="0"/>
          <w:numId w:val="2"/>
        </w:numPr>
        <w:spacing w:after="30" w:before="30"/>
      </w:pPr>
      <w:r>
        <w:rPr>
          <w:rFonts w:ascii="Arial" w:cs="Arial" w:eastAsia="Arial" w:hAnsi="Arial"/>
          <w:b w:val="false"/>
          <w:bCs w:val="false"/>
          <w:sz w:val="17"/>
          <w:szCs w:val="17"/>
        </w:rPr>
        <w:t xml:space="preserve">Add user management, roles, or write operations of any kind</w:t>
      </w:r>
    </w:p>
    <w:p>
      <w:pPr>
        <w:spacing w:after="0" w:before="40"/>
      </w:pPr>
    </w:p>
    <w:p>
      <w:pPr>
        <w:pBdr>
          <w:left w:val="single" w:color="E6A817" w:sz="12" w:space="4"/>
        </w:pBdr>
        <w:shd w:fill="FFF3CD" w:val="clear"/>
        <w:spacing w:after="40" w:before="40"/>
      </w:pPr>
      <w:r>
        <w:rPr>
          <w:rFonts w:ascii="Arial" w:cs="Arial" w:eastAsia="Arial" w:hAnsi="Arial"/>
          <w:b/>
          <w:bCs/>
          <w:color w:val="7D4A00"/>
          <w:sz w:val="18"/>
          <w:szCs w:val="18"/>
        </w:rPr>
        <w:t xml:space="preserve">If a task prompt conflicts with an invariant: the invariant wins. Flag the conflict — do not resolve it silently.</w:t>
      </w:r>
    </w:p>
    <w:p>
      <w:pPr>
        <w:spacing w:after="0" w:before="60"/>
      </w:pPr>
    </w:p>
    <w:p>
      <w:pPr>
        <w:pBdr>
          <w:bottom w:val="single" w:color="CCCCCC" w:sz="4" w:space="1"/>
        </w:pBdr>
        <w:spacing w:after="80" w:before="80"/>
      </w:pPr>
    </w:p>
    <w:p>
      <w:pPr>
        <w:spacing w:after="80" w:before="240"/>
      </w:pPr>
      <w:r>
        <w:rPr>
          <w:rFonts w:ascii="Arial" w:cs="Arial" w:eastAsia="Arial" w:hAnsi="Arial"/>
          <w:b/>
          <w:bCs/>
          <w:color w:val="1F3864"/>
          <w:sz w:val="26"/>
          <w:szCs w:val="26"/>
        </w:rPr>
        <w:t xml:space="preserve">4. Execution Contract</w:t>
      </w:r>
    </w:p>
    <w:p>
      <w:pPr>
        <w:pStyle w:val="ListParagraph"/>
        <w:numPr>
          <w:ilvl w:val="0"/>
          <w:numId w:val="2"/>
        </w:numPr>
        <w:spacing w:after="30" w:before="30"/>
      </w:pPr>
      <w:r>
        <w:rPr>
          <w:rFonts w:ascii="Arial" w:cs="Arial" w:eastAsia="Arial" w:hAnsi="Arial"/>
          <w:b w:val="false"/>
          <w:bCs w:val="false"/>
          <w:sz w:val="17"/>
          <w:szCs w:val="17"/>
        </w:rPr>
        <w:t xml:space="preserve">One task at a time. Complete each task fully before starting the next.</w:t>
      </w:r>
    </w:p>
    <w:p>
      <w:pPr>
        <w:pStyle w:val="ListParagraph"/>
        <w:numPr>
          <w:ilvl w:val="0"/>
          <w:numId w:val="2"/>
        </w:numPr>
        <w:spacing w:after="30" w:before="30"/>
      </w:pPr>
      <w:r>
        <w:rPr>
          <w:rFonts w:ascii="Arial" w:cs="Arial" w:eastAsia="Arial" w:hAnsi="Arial"/>
          <w:b w:val="false"/>
          <w:bCs w:val="false"/>
          <w:sz w:val="17"/>
          <w:szCs w:val="17"/>
        </w:rPr>
        <w:t xml:space="preserve">No scope expansion. Do not build ahead, combine tasks, or add unrequested features.</w:t>
      </w:r>
    </w:p>
    <w:p>
      <w:pPr>
        <w:pStyle w:val="ListParagraph"/>
        <w:numPr>
          <w:ilvl w:val="0"/>
          <w:numId w:val="2"/>
        </w:numPr>
        <w:spacing w:after="30" w:before="30"/>
      </w:pPr>
      <w:r>
        <w:rPr>
          <w:rFonts w:ascii="Arial" w:cs="Arial" w:eastAsia="Arial" w:hAnsi="Arial"/>
          <w:b w:val="false"/>
          <w:bCs w:val="false"/>
          <w:sz w:val="17"/>
          <w:szCs w:val="17"/>
        </w:rPr>
        <w:t xml:space="preserve">Flag deviations — do not resolve them silently. If a task is ambiguous or conflicts with this document, stop and surface the conflict before writing code.</w:t>
      </w:r>
    </w:p>
    <w:p>
      <w:pPr>
        <w:pStyle w:val="ListParagraph"/>
        <w:numPr>
          <w:ilvl w:val="0"/>
          <w:numId w:val="2"/>
        </w:numPr>
        <w:spacing w:after="30" w:before="30"/>
      </w:pPr>
      <w:r>
        <w:rPr>
          <w:rFonts w:ascii="Arial" w:cs="Arial" w:eastAsia="Arial" w:hAnsi="Arial"/>
          <w:b w:val="false"/>
          <w:bCs w:val="false"/>
          <w:sz w:val="17"/>
          <w:szCs w:val="17"/>
        </w:rPr>
        <w:t xml:space="preserve">Run verification commands after each task. A task is not complete until its test cases pass.</w:t>
      </w:r>
    </w:p>
    <w:p>
      <w:pPr>
        <w:pStyle w:val="ListParagraph"/>
        <w:numPr>
          <w:ilvl w:val="0"/>
          <w:numId w:val="2"/>
        </w:numPr>
        <w:spacing w:after="30" w:before="30"/>
      </w:pPr>
      <w:r>
        <w:rPr>
          <w:rFonts w:ascii="Arial" w:cs="Arial" w:eastAsia="Arial" w:hAnsi="Arial"/>
          <w:b w:val="false"/>
          <w:bCs w:val="false"/>
          <w:sz w:val="17"/>
          <w:szCs w:val="17"/>
        </w:rPr>
        <w:t xml:space="preserve">Session integration checks are gates. Do not advance to the next session until the integration check passes.</w:t>
      </w:r>
    </w:p>
    <w:p>
      <w:pPr>
        <w:pStyle w:val="ListParagraph"/>
        <w:numPr>
          <w:ilvl w:val="0"/>
          <w:numId w:val="2"/>
        </w:numPr>
        <w:spacing w:after="30" w:before="30"/>
      </w:pPr>
      <w:r>
        <w:rPr>
          <w:rFonts w:ascii="Arial" w:cs="Arial" w:eastAsia="Arial" w:hAnsi="Arial"/>
          <w:b w:val="false"/>
          <w:bCs w:val="false"/>
          <w:sz w:val="17"/>
          <w:szCs w:val="17"/>
        </w:rPr>
        <w:t xml:space="preserve">Seed data is synthetic and must remain so. No realistic customer names, IDs, or risk factors.</w:t>
      </w:r>
    </w:p>
    <w:p>
      <w:pPr>
        <w:pStyle w:val="ListParagraph"/>
        <w:numPr>
          <w:ilvl w:val="0"/>
          <w:numId w:val="2"/>
        </w:numPr>
        <w:spacing w:after="30" w:before="30"/>
      </w:pPr>
      <w:r>
        <w:rPr>
          <w:rFonts w:ascii="Arial" w:cs="Arial" w:eastAsia="Arial" w:hAnsi="Arial"/>
          <w:b w:val="false"/>
          <w:bCs w:val="false"/>
          <w:sz w:val="17"/>
          <w:szCs w:val="17"/>
        </w:rPr>
        <w:t xml:space="preserve">Error envelopes are fixed: {"error": "&lt;message&gt;", "status": &lt;code&gt;}. No other shape is permitted.</w:t>
      </w:r>
    </w:p>
    <w:p>
      <w:pPr>
        <w:pStyle w:val="ListParagraph"/>
        <w:numPr>
          <w:ilvl w:val="0"/>
          <w:numId w:val="2"/>
        </w:numPr>
        <w:spacing w:after="30" w:before="30"/>
      </w:pPr>
      <w:r>
        <w:rPr>
          <w:rFonts w:ascii="Arial" w:cs="Arial" w:eastAsia="Arial" w:hAnsi="Arial"/>
          <w:b w:val="false"/>
          <w:bCs w:val="false"/>
          <w:sz w:val="17"/>
          <w:szCs w:val="17"/>
        </w:rPr>
        <w:t xml:space="preserve">The demo banner ('DEMO SYSTEM — Synthetic data only') is mandatory. It must be visible without user action.</w:t>
      </w:r>
    </w:p>
    <w:p>
      <w:pPr>
        <w:spacing w:after="0" w:before="60"/>
      </w:pPr>
    </w:p>
    <w:p>
      <w:pPr>
        <w:pBdr>
          <w:bottom w:val="single" w:color="CCCCCC" w:sz="4" w:space="1"/>
        </w:pBdr>
        <w:spacing w:after="80" w:before="80"/>
      </w:pPr>
    </w:p>
    <w:p>
      <w:pPr>
        <w:spacing w:after="80" w:before="240"/>
      </w:pPr>
      <w:r>
        <w:rPr>
          <w:rFonts w:ascii="Arial" w:cs="Arial" w:eastAsia="Arial" w:hAnsi="Arial"/>
          <w:b/>
          <w:bCs/>
          <w:color w:val="1F3864"/>
          <w:sz w:val="26"/>
          <w:szCs w:val="26"/>
        </w:rPr>
        <w:t xml:space="preserve">5. Fixed Stack</w:t>
      </w:r>
    </w:p>
    <w:p>
      <w:pPr>
        <w:spacing w:after="40" w:before="40"/>
      </w:pPr>
      <w:r>
        <w:rPr>
          <w:rFonts w:ascii="Arial" w:cs="Arial" w:eastAsia="Arial" w:hAnsi="Arial"/>
          <w:b w:val="false"/>
          <w:bCs w:val="false"/>
          <w:i w:val="false"/>
          <w:iCs w:val="false"/>
          <w:color w:val="000000"/>
          <w:sz w:val="18"/>
          <w:szCs w:val="18"/>
        </w:rPr>
        <w:t xml:space="preserve">The following technologies and versions are fixed. No substitutions.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Runtime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Python 3.11-slim (Docker base image)</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 framework</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FastAPI 0.111.0</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ASGI server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uvicorn[standard] 0.29.0</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DB driver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psycopg2-binary 2.9.9 — no ORM, no SQLAlchemy</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Database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postgres:15 image</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Orchestration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Docker Compose — two containers only</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UI</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Vanilla HTML5 + JavaScript — no framework, no CDN</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Connection pool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psycopg2.pool.SimpleConnectionPool — minconn=1, maxconn=5</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Auth header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X-API-Key — no Bearer prefix</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Customer ID format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Alphanumeric, regex ^[A-Z0-9-]{1,20}$, max 20 chars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Risk tiers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Exactly: LOW, MEDIUM, HIGH — uppercase, no variants</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Risk factors shape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Array of plain strings — ordered, never null</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Seed records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9 records: DEMO-001–003 LOW, DEMO-004–006 MEDIUM, DEMO-007–009 HIGH</w:t>
            </w:r>
          </w:p>
        </w:tc>
      </w:tr>
    </w:tbl>
    <w:p>
      <w:pPr>
        <w:spacing w:after="0" w:before="80"/>
      </w:pPr>
    </w:p>
    <w:p>
      <w:pPr>
        <w:spacing w:after="80" w:before="160"/>
      </w:pPr>
      <w:r>
        <w:rPr>
          <w:rFonts w:ascii="Arial" w:cs="Arial" w:eastAsia="Arial" w:hAnsi="Arial"/>
          <w:b/>
          <w:bCs/>
          <w:color w:val="2E4A7A"/>
          <w:sz w:val="20"/>
          <w:szCs w:val="20"/>
        </w:rPr>
        <w:t xml:space="preserve">Environment Variables</w:t>
      </w:r>
    </w:p>
    <w:p>
      <w:pPr>
        <w:spacing w:after="40" w:before="40"/>
      </w:pPr>
      <w:r>
        <w:rPr>
          <w:rFonts w:ascii="Arial" w:cs="Arial" w:eastAsia="Arial" w:hAnsi="Arial"/>
          <w:b w:val="false"/>
          <w:bCs w:val="false"/>
          <w:i w:val="false"/>
          <w:iCs w:val="false"/>
          <w:color w:val="000000"/>
          <w:sz w:val="18"/>
          <w:szCs w:val="18"/>
        </w:rPr>
        <w:t xml:space="preserve">All values provided via .env at compose startup. No defaults for secrets. No hardcoded values anywhere in source.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POSTGRES_USER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riskapi</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POSTGRES_PASSWORD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&lt;set — never hardcoded&gt;</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POSTGRES_DB</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riskdb</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POSTGRES_HOST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postgres (must match Compose service name)</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POSTGRES_PORT</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5432</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r>
              <w:rPr>
                <w:rFonts w:ascii="Arial" w:cs="Arial" w:eastAsia="Arial" w:hAnsi="Arial"/>
                <w:b/>
                <w:bCs/>
                <w:color w:val="1F3864"/>
                <w:sz w:val="17"/>
                <w:szCs w:val="17"/>
              </w:rPr>
              <w:t xml:space="preserve">API_KEY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7"/>
                <w:szCs w:val="17"/>
              </w:rPr>
              <w:t xml:space="preserve">&lt;any non-empty string — used in X-API-Key header&gt;</w:t>
            </w:r>
          </w:p>
        </w:tc>
      </w:tr>
    </w:tbl>
    <w:p>
      <w:pPr>
        <w:spacing w:after="0" w:before="80"/>
      </w:pPr>
    </w:p>
    <w:p>
      <w:pPr>
        <w:pBdr>
          <w:top w:val="single" w:color="CCCCCC" w:sz="4" w:space="1"/>
        </w:pBdr>
        <w:spacing w:after="0" w:before="60"/>
      </w:pPr>
      <w:r>
        <w:rPr>
          <w:rFonts w:ascii="Arial" w:cs="Arial" w:eastAsia="Arial" w:hAnsi="Arial"/>
          <w:i/>
          <w:iCs/>
          <w:color w:val="888888"/>
          <w:sz w:val="15"/>
          <w:szCs w:val="15"/>
        </w:rPr>
        <w:t xml:space="preserve">Customer Risk API  ·  claude.md  ·  v1.0  ·  Training Demo System</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2026-03-31T06:13:02.418Z</dcterms:created>
  <dcterms:modified xsi:type="dcterms:W3CDTF">2026-03-31T06:13:02.419Z</dcterms:modified>
</cp:coreProperties>
</file>

<file path=docProps/custom.xml><?xml version="1.0" encoding="utf-8"?>
<Properties xmlns="http://schemas.openxmlformats.org/officeDocument/2006/custom-properties" xmlns:vt="http://schemas.openxmlformats.org/officeDocument/2006/docPropsVTypes"/>
</file>