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ARCHITECTURE.md</w:t>
      </w:r>
    </w:p>
    <w:p>
      <w:pPr>
        <w:spacing w:after="60"/>
      </w:pPr>
      <w:r>
        <w:rPr>
          <w:rFonts w:ascii="Arial" w:cs="Arial" w:eastAsia="Arial" w:hAnsi="Arial"/>
          <w:color w:val="2E5FA3"/>
          <w:sz w:val="24"/>
          <w:szCs w:val="24"/>
        </w:rPr>
        <w:t xml:space="preserve">Customer Risk API  ·  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Decision date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2026</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Decision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Candidate C — unified FastAPI service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Accepted</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Training Demo System</w:t>
            </w:r>
          </w:p>
        </w:tc>
      </w:tr>
    </w:tbl>
    <w:p>
      <w:pPr>
        <w:spacing w:after="80"/>
      </w:pPr>
    </w:p>
    <w:p>
      <w:pPr>
        <w:pBdr>
          <w:bottom w:val="single" w:color="DDDDDD" w:sz="4" w:space="1"/>
        </w:pBdr>
        <w:spacing w:after="240"/>
      </w:pPr>
    </w:p>
    <w:p>
      <w:pPr>
        <w:pStyle w:val="Heading1"/>
      </w:pPr>
      <w:r>
        <w:t xml:space="preserve">1. Context</w:t>
      </w:r>
    </w:p>
    <w:p>
      <w:pPr>
        <w:spacing w:after="160"/>
      </w:pPr>
      <w:r>
        <w:t xml:space="preserve">Operations staff need to look up a customer’s risk tier and the factors behind it without SQL access or analyst involvement. Risk data is pre-assessed and stored in Postgres. The problem is access and presentation, not analysis.</w:t>
      </w:r>
    </w:p>
    <w:p>
      <w:pPr>
        <w:spacing w:after="160"/>
      </w:pPr>
      <w:r>
        <w:t xml:space="preserve">Three candidate architectures were evaluated:</w:t>
      </w:r>
    </w:p>
    <w:p>
      <w:pPr>
        <w:pStyle w:val="ListParagraph"/>
        <w:numPr>
          <w:ilvl w:val="0"/>
          <w:numId w:val="2"/>
        </w:numPr>
        <w:spacing w:after="100"/>
      </w:pPr>
      <w:r>
        <w:rPr>
          <w:b w:val="false"/>
          <w:bCs w:val="false"/>
        </w:rPr>
        <w:t xml:space="preserve">Candidate A — browser calls FastAPI directly; API key lives in client-side JavaScript</w:t>
      </w:r>
    </w:p>
    <w:p>
      <w:pPr>
        <w:pStyle w:val="ListParagraph"/>
        <w:numPr>
          <w:ilvl w:val="0"/>
          <w:numId w:val="2"/>
        </w:numPr>
        <w:spacing w:after="100"/>
      </w:pPr>
      <w:r>
        <w:rPr>
          <w:b w:val="false"/>
          <w:bCs w:val="false"/>
        </w:rPr>
        <w:t xml:space="preserve">Candidate B — server-side proxy injects the key; browser makes unauthenticated calls to the proxy</w:t>
      </w:r>
    </w:p>
    <w:p>
      <w:pPr>
        <w:pStyle w:val="ListParagraph"/>
        <w:numPr>
          <w:ilvl w:val="0"/>
          <w:numId w:val="2"/>
        </w:numPr>
        <w:spacing w:after="100"/>
      </w:pPr>
      <w:r>
        <w:rPr>
          <w:b w:val="false"/>
          <w:bCs w:val="false"/>
        </w:rPr>
        <w:t xml:space="preserve">Candidate C — FastAPI serves both the UI and the API; the browser never makes an authenticated call</w:t>
      </w:r>
    </w:p>
    <w:p>
      <w:pPr>
        <w:spacing w:after="80"/>
      </w:pPr>
    </w:p>
    <w:p>
      <w:pPr>
        <w:pStyle w:val="Heading1"/>
      </w:pPr>
      <w:r>
        <w:t xml:space="preserve">2. Decision</w:t>
      </w:r>
    </w:p>
    <w:p>
      <w:pPr>
        <w:spacing w:after="160"/>
      </w:pPr>
      <w:r>
        <w:t xml:space="preserve">Candidate C is adopted. FastAPI serves the HTML page from a static files mount and exposes the API endpoints on the same origin. All authenticated calls are made server-side. The API key is injected via environment variable and never sent to the browser.</w:t>
      </w:r>
    </w:p>
    <w:p>
      <w:pPr>
        <w:spacing w:after="80"/>
      </w:pPr>
    </w:p>
    <w:p>
      <w:pPr>
        <w:pStyle w:val="Heading1"/>
      </w:pPr>
      <w:r>
        <w:t xml:space="preserve">3. Rationale</w:t>
      </w:r>
    </w:p>
    <w:p>
      <w:pPr>
        <w:pStyle w:val="Heading2"/>
      </w:pPr>
      <w:r>
        <w:t xml:space="preserve">Why not Candidate A</w:t>
      </w:r>
    </w:p>
    <w:p>
      <w:pPr>
        <w:spacing w:after="160"/>
      </w:pPr>
      <w:r>
        <w:t xml:space="preserve">A eliminates the security property the brief explicitly requires. Any staff member using the UI can extract the API key from browser DevTools. In a financial services context this is not an acceptable trade even for a demo system. Auth exists on paper but not in effect.</w:t>
      </w:r>
    </w:p>
    <w:p>
      <w:pPr>
        <w:pStyle w:val="Heading2"/>
      </w:pPr>
      <w:r>
        <w:t xml:space="preserve">Why not Candidate B</w:t>
      </w:r>
    </w:p>
    <w:p>
      <w:pPr>
        <w:spacing w:after="160"/>
      </w:pPr>
      <w:r>
        <w:t xml:space="preserve">B solves the key-leakage problem correctly but adds a proxy layer — an Nginx container with header-injection configuration — that is a bespoke, fragile piece with its own failure modes. A misconfigured upstream name, a missing proxy_set_header, or a timeout mismatch between Nginx and FastAPI produces a total UI failure while direct API calls with a valid key continue to work. This asymmetry is hard to diagnose. The added complexity is not justified for a single-service demo system.</w:t>
      </w:r>
    </w:p>
    <w:p>
      <w:pPr>
        <w:pStyle w:val="Heading2"/>
      </w:pPr>
      <w:r>
        <w:t xml:space="preserve">Why Candidate C</w:t>
      </w:r>
    </w:p>
    <w:p>
      <w:pPr>
        <w:spacing w:after="160"/>
      </w:pPr>
      <w:r>
        <w:t xml:space="preserve">C solves the key-leakage problem structurally rather than by adding a layer. Because the browser never calls the API directly, there is nothing to leak. The Compose topology is simpler: two containers instead of three. The request path is shorter and there is one fewer failure point.</w:t>
      </w:r>
    </w:p>
    <w:p>
      <w:pPr>
        <w:spacing w:after="160"/>
      </w:pPr>
      <w:r>
        <w:t xml:space="preserve">The tradeoff is explicit and accepted: the UI and API are one deployable unit. They cannot be scaled independently. If this system moves toward production and the UI and API need to diverge, this architecture will need to be revisited. For a training demo with a defined scope, that constraint is acceptable.</w:t>
      </w:r>
    </w:p>
    <w:p>
      <w:pPr>
        <w:spacing w:after="80"/>
      </w:pPr>
    </w:p>
    <w:p>
      <w:pPr>
        <w:pStyle w:val="Heading1"/>
      </w:pPr>
      <w:r>
        <w:t xml:space="preserve">4. Constraints Carried Forward</w:t>
      </w:r>
    </w:p>
    <w:p>
      <w:pPr>
        <w:spacing w:after="160"/>
      </w:pPr>
      <w:r>
        <w:t xml:space="preserve">These constraints are not resolved by the architecture choice. They must be addressed at the implementation level regardless of which candidate was selected.</w:t>
      </w:r>
    </w:p>
    <w:p>
      <w:pPr>
        <w:pStyle w:val="Heading2"/>
      </w:pPr>
      <w:r>
        <w:t xml:space="preserve">Explicit constraints from the brief</w:t>
      </w:r>
    </w:p>
    <w:p>
      <w:pPr>
        <w:pStyle w:val="ListParagraph"/>
        <w:numPr>
          <w:ilvl w:val="0"/>
          <w:numId w:val="2"/>
        </w:numPr>
        <w:spacing w:after="100"/>
      </w:pPr>
      <w:r>
        <w:rPr>
          <w:b w:val="false"/>
          <w:bCs w:val="false"/>
        </w:rPr>
        <w:t xml:space="preserve">Read-only. No write endpoints under any circumstances.</w:t>
      </w:r>
    </w:p>
    <w:p>
      <w:pPr>
        <w:pStyle w:val="ListParagraph"/>
        <w:numPr>
          <w:ilvl w:val="0"/>
          <w:numId w:val="2"/>
        </w:numPr>
        <w:spacing w:after="100"/>
      </w:pPr>
      <w:r>
        <w:rPr>
          <w:b w:val="false"/>
          <w:bCs w:val="false"/>
        </w:rPr>
        <w:t xml:space="preserve">No external service calls. The system must be fully self-contained.</w:t>
      </w:r>
    </w:p>
    <w:p>
      <w:pPr>
        <w:pStyle w:val="ListParagraph"/>
        <w:numPr>
          <w:ilvl w:val="0"/>
          <w:numId w:val="2"/>
        </w:numPr>
        <w:spacing w:after="100"/>
      </w:pPr>
      <w:r>
        <w:rPr>
          <w:b w:val="false"/>
          <w:bCs w:val="false"/>
        </w:rPr>
        <w:t xml:space="preserve">Must start from a single </w:t>
      </w:r>
    </w:p>
    <w:p>
      <w:pPr>
        <w:spacing w:after="160"/>
      </w:pPr>
      <w:r>
        <w:t xml:space="preserve">Must start from </w:t>
      </w:r>
      <w:r>
        <w:rPr>
          <w:rFonts w:ascii="Courier New" w:cs="Courier New" w:eastAsia="Courier New" w:hAnsi="Courier New"/>
          <w:color w:val="1A1A2E"/>
          <w:sz w:val="20"/>
          <w:szCs w:val="20"/>
        </w:rPr>
        <w:t xml:space="preserve">docker compose up</w:t>
      </w:r>
      <w:r>
        <w:t xml:space="preserve"> with only </w:t>
      </w:r>
      <w:r>
        <w:rPr>
          <w:rFonts w:ascii="Courier New" w:cs="Courier New" w:eastAsia="Courier New" w:hAnsi="Courier New"/>
          <w:color w:val="1A1A2E"/>
          <w:sz w:val="20"/>
          <w:szCs w:val="20"/>
        </w:rPr>
        <w:t xml:space="preserve">.env</w:t>
      </w:r>
      <w:r>
        <w:t xml:space="preserve"> pre-provided. No manual setup steps.</w:t>
      </w:r>
    </w:p>
    <w:p>
      <w:pPr>
        <w:pStyle w:val="ListParagraph"/>
        <w:numPr>
          <w:ilvl w:val="0"/>
          <w:numId w:val="2"/>
        </w:numPr>
        <w:spacing w:after="100"/>
      </w:pPr>
      <w:r>
        <w:rPr>
          <w:b w:val="false"/>
          <w:bCs w:val="false"/>
        </w:rPr>
        <w:t xml:space="preserve">Stack is fixed: Docker Compose, Postgres, FastAPI / Python 3.11, psycopg2, vanilla HTML/JS. No ORM.</w:t>
      </w:r>
    </w:p>
    <w:p>
      <w:pPr>
        <w:pStyle w:val="Heading2"/>
      </w:pPr>
      <w:r>
        <w:t xml:space="preserve">Unstated constraints the implementation must respect</w:t>
      </w:r>
    </w:p>
    <w:p>
      <w:pPr>
        <w:pStyle w:val="ListParagraph"/>
        <w:numPr>
          <w:ilvl w:val="0"/>
          <w:numId w:val="2"/>
        </w:numPr>
        <w:spacing w:after="100"/>
      </w:pPr>
      <w:r>
        <w:rPr>
          <w:b w:val="false"/>
          <w:bCs w:val="false"/>
        </w:rPr>
        <w:t xml:space="preserve">API key must be injected via environment variable — never hardcoded in source or baked into the image.</w:t>
      </w:r>
    </w:p>
    <w:p>
      <w:pPr>
        <w:pStyle w:val="ListParagraph"/>
        <w:numPr>
          <w:ilvl w:val="0"/>
          <w:numId w:val="2"/>
        </w:numPr>
        <w:spacing w:after="100"/>
      </w:pPr>
      <w:r>
        <w:rPr>
          <w:b w:val="false"/>
          <w:bCs w:val="false"/>
        </w:rPr>
        <w:t xml:space="preserve">Database credentials must come from .env — not source.</w:t>
      </w:r>
    </w:p>
    <w:p>
      <w:pPr>
        <w:pStyle w:val="ListParagraph"/>
        <w:numPr>
          <w:ilvl w:val="0"/>
          <w:numId w:val="2"/>
        </w:numPr>
        <w:spacing w:after="100"/>
      </w:pPr>
      <w:r>
        <w:rPr>
          <w:b w:val="false"/>
          <w:bCs w:val="false"/>
        </w:rPr>
        <w:t xml:space="preserve">Database must not be port-exposed to the host. Only the FastAPI service port is exposed externally.</w:t>
      </w:r>
    </w:p>
    <w:p>
      <w:pPr>
        <w:pStyle w:val="ListParagraph"/>
        <w:numPr>
          <w:ilvl w:val="0"/>
          <w:numId w:val="2"/>
        </w:numPr>
        <w:spacing w:after="100"/>
      </w:pPr>
      <w:r>
        <w:rPr>
          <w:b w:val="false"/>
          <w:bCs w:val="false"/>
        </w:rPr>
        <w:t xml:space="preserve">Postgres readiness must be handled explicitly in Compose. FastAPI must not start until Postgres is accepting connections.</w:t>
      </w:r>
    </w:p>
    <w:p>
      <w:pPr>
        <w:pStyle w:val="ListParagraph"/>
        <w:numPr>
          <w:ilvl w:val="0"/>
          <w:numId w:val="2"/>
        </w:numPr>
        <w:spacing w:after="100"/>
      </w:pPr>
      <w:r>
        <w:rPr>
          <w:b w:val="false"/>
          <w:bCs w:val="false"/>
        </w:rPr>
        <w:t xml:space="preserve">psycopg2 connection lifecycle must be managed. Default per-request connections will exhaust Postgres max_connections under any concurrent load. A simple connection pool or context-managed connections are required.</w:t>
      </w:r>
    </w:p>
    <w:p>
      <w:pPr>
        <w:pStyle w:val="ListParagraph"/>
        <w:numPr>
          <w:ilvl w:val="0"/>
          <w:numId w:val="2"/>
        </w:numPr>
        <w:spacing w:after="100"/>
      </w:pPr>
      <w:r>
        <w:rPr>
          <w:b w:val="false"/>
          <w:bCs w:val="false"/>
        </w:rPr>
        <w:t xml:space="preserve">Seed data must not resemble real customer records. Customer IDs, names, and risk factors must be clearly synthetic.</w:t>
      </w:r>
    </w:p>
    <w:p>
      <w:pPr>
        <w:pStyle w:val="ListParagraph"/>
        <w:numPr>
          <w:ilvl w:val="0"/>
          <w:numId w:val="2"/>
        </w:numPr>
        <w:spacing w:after="100"/>
      </w:pPr>
      <w:r>
        <w:rPr>
          <w:b w:val="false"/>
          <w:bCs w:val="false"/>
        </w:rPr>
        <w:t xml:space="preserve">.env variables must be documented. Whoever runs this must know what to provide.</w:t>
      </w:r>
    </w:p>
    <w:p>
      <w:pPr>
        <w:pStyle w:val="ListParagraph"/>
        <w:numPr>
          <w:ilvl w:val="0"/>
          <w:numId w:val="2"/>
        </w:numPr>
        <w:spacing w:after="100"/>
      </w:pPr>
      <w:r>
        <w:rPr>
          <w:b w:val="false"/>
          <w:bCs w:val="false"/>
        </w:rPr>
        <w:t xml:space="preserve">Error responses must be consistent. The API must distinguish ‘customer not found’ from ‘database unreachable’ in its response envelope.</w:t>
      </w:r>
    </w:p>
    <w:p>
      <w:pPr>
        <w:spacing w:after="80"/>
      </w:pPr>
    </w:p>
    <w:p>
      <w:pPr>
        <w:pStyle w:val="Heading1"/>
      </w:pPr>
      <w:r>
        <w:t xml:space="preserve">5. Failure Modes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F1 — Key leakage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Mitigated by Candidate C. The browser never calls the API directly and the key is never in client-side code.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F2 — DB unavailable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FastAPI must return a structured 503 distinguishable from 404. Compose healthcheck must gate FastAPI startup on Postgres readiness.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F3 — Seed data as truth</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Seed script must be clearly labelled. The UI should display a visible demo-data notice. Seed IDs must be obviously synthetic (e.g. DEMO-001).</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F4 — Schema drift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FastAPI generates an OpenAPI spec automatically. It should be treated as the contract from day one, even in demo context. The risk factor structure must be defined and documented before implementation begins.</w:t>
            </w:r>
          </w:p>
        </w:tc>
      </w:tr>
    </w:tbl>
    <w:p>
      <w:pPr>
        <w:spacing w:after="80"/>
      </w:pPr>
    </w:p>
    <w:p>
      <w:pPr>
        <w:pStyle w:val="Heading1"/>
      </w:pPr>
      <w:r>
        <w:t xml:space="preserve">6. Missing Information to Resolve Before Implementation</w:t>
      </w:r>
    </w:p>
    <w:p>
      <w:pPr>
        <w:spacing w:after="160"/>
      </w:pPr>
      <w:r>
        <w:t xml:space="preserve">The following gaps must be resolved before writing application code. Each one directly shapes schema, routing, or the API contract.</w:t>
      </w:r>
    </w:p>
    <w:p>
      <w:pPr>
        <w:pStyle w:val="Heading2"/>
      </w:pPr>
      <w:r>
        <w:t xml:space="preserve">Blocking</w:t>
      </w:r>
    </w:p>
    <w:p>
      <w:pPr>
        <w:pStyle w:val="ListParagraph"/>
        <w:numPr>
          <w:ilvl w:val="0"/>
          <w:numId w:val="2"/>
        </w:numPr>
        <w:spacing w:after="100"/>
      </w:pPr>
      <w:r>
        <w:rPr>
          <w:b w:val="false"/>
          <w:bCs w:val="false"/>
        </w:rPr>
        <w:t xml:space="preserve">Risk factor shape: is a factor a plain string, a structured object (code + description + severity), or something else? This determines the database schema and the API response contract.</w:t>
      </w:r>
    </w:p>
    <w:p>
      <w:pPr>
        <w:pStyle w:val="ListParagraph"/>
        <w:numPr>
          <w:ilvl w:val="0"/>
          <w:numId w:val="2"/>
        </w:numPr>
        <w:spacing w:after="100"/>
      </w:pPr>
      <w:r>
        <w:rPr>
          <w:b w:val="false"/>
          <w:bCs w:val="false"/>
        </w:rPr>
        <w:t xml:space="preserve">Customer ID format: UUID, integer, or alphanumeric? Affects validation, URL routing, and what ‘not found’ means operationally.</w:t>
      </w:r>
    </w:p>
    <w:p>
      <w:pPr>
        <w:pStyle w:val="Heading2"/>
      </w:pPr>
      <w:r>
        <w:t xml:space="preserve">Important</w:t>
      </w:r>
    </w:p>
    <w:p>
      <w:pPr>
        <w:pStyle w:val="ListParagraph"/>
        <w:numPr>
          <w:ilvl w:val="0"/>
          <w:numId w:val="2"/>
        </w:numPr>
        <w:spacing w:after="100"/>
      </w:pPr>
      <w:r>
        <w:rPr>
          <w:b w:val="false"/>
          <w:bCs w:val="false"/>
        </w:rPr>
        <w:t xml:space="preserve">Who generates the initial API key, and how is it documented in the .env reference?</w:t>
      </w:r>
    </w:p>
    <w:p>
      <w:pPr>
        <w:pStyle w:val="ListParagraph"/>
        <w:numPr>
          <w:ilvl w:val="0"/>
          <w:numId w:val="2"/>
        </w:numPr>
        <w:spacing w:after="100"/>
      </w:pPr>
      <w:r>
        <w:rPr>
          <w:b w:val="false"/>
          <w:bCs w:val="false"/>
        </w:rPr>
        <w:t xml:space="preserve">What is the expected operational lifetime? Demo-only changes the weight given to seed data design and schema stability.</w:t>
      </w:r>
    </w:p>
    <w:p>
      <w:pPr>
        <w:pStyle w:val="ListParagraph"/>
        <w:numPr>
          <w:ilvl w:val="0"/>
          <w:numId w:val="2"/>
        </w:numPr>
        <w:spacing w:after="100"/>
      </w:pPr>
      <w:r>
        <w:rPr>
          <w:b w:val="false"/>
          <w:bCs w:val="false"/>
        </w:rPr>
        <w:t xml:space="preserve">How many seed records are needed, and what makes a record ‘representative’ for each tier?</w:t>
      </w:r>
    </w:p>
    <w:p>
      <w:pPr>
        <w:pStyle w:val="Heading2"/>
      </w:pPr>
      <w:r>
        <w:t xml:space="preserve">Nice to have</w:t>
      </w:r>
    </w:p>
    <w:p>
      <w:pPr>
        <w:pStyle w:val="ListParagraph"/>
        <w:numPr>
          <w:ilvl w:val="0"/>
          <w:numId w:val="2"/>
        </w:numPr>
        <w:spacing w:after="100"/>
      </w:pPr>
      <w:r>
        <w:rPr>
          <w:b w:val="false"/>
          <w:bCs w:val="false"/>
        </w:rPr>
        <w:t xml:space="preserve">Expected concurrency ceiling — helps size the psycopg2 pool correctly.</w:t>
      </w:r>
    </w:p>
    <w:p>
      <w:pPr>
        <w:pStyle w:val="ListParagraph"/>
        <w:numPr>
          <w:ilvl w:val="0"/>
          <w:numId w:val="2"/>
        </w:numPr>
        <w:spacing w:after="100"/>
      </w:pPr>
      <w:r>
        <w:rPr>
          <w:b w:val="false"/>
          <w:bCs w:val="false"/>
        </w:rPr>
        <w:t xml:space="preserve">Whether the OpenAPI spec will be consumed by any downstream tooling immediately, or is purely documentation for now.</w:t>
      </w:r>
    </w:p>
    <w:p>
      <w:pPr>
        <w:spacing w:after="80"/>
      </w:pPr>
    </w:p>
    <w:p>
      <w:pPr>
        <w:pStyle w:val="Heading1"/>
      </w:pPr>
      <w:r>
        <w:t xml:space="preserve">7. Container Topology</w:t>
      </w:r>
    </w:p>
    <w:p>
      <w:pPr>
        <w:spacing w:after="160"/>
      </w:pPr>
      <w:r>
        <w:t xml:space="preserve">Two containers. No proxy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Service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fastapi-app</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Image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python:3.11-slim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Responsibilities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Serve static HTML at /  ·  Expose API at /api/v1/  ·  Handle auth  ·  Query Postgres via psycopg2</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Exposed port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8000 (host) → 8000 (container)</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Service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postgres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Image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postgres:15</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Responsibilities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Store risk profiles  ·  Run seed migration on init</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Exposed port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Not exposed to host</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b/>
                <w:bCs/>
                <w:sz w:val="20"/>
                <w:szCs w:val="20"/>
              </w:rPr>
              <w:t xml:space="preserve">Healthcheck</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pg_isready — FastAPI depends_on with condition: service_healthy</w:t>
            </w:r>
          </w:p>
        </w:tc>
      </w:tr>
    </w:tbl>
    <w:p>
      <w:pPr>
        <w:spacing w:after="80"/>
      </w:pPr>
    </w:p>
    <w:p>
      <w:pPr>
        <w:pStyle w:val="Heading1"/>
      </w:pPr>
      <w:r>
        <w:t xml:space="preserve">8. Environment Variables</w:t>
      </w:r>
    </w:p>
    <w:p>
      <w:pPr>
        <w:spacing w:after="160"/>
      </w:pPr>
      <w:r>
        <w:t xml:space="preserve">All values provided via .env at compose startup. No defaults for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line="240"/>
            </w:pPr>
            <w:r>
              <w:rPr>
                <w:rFonts w:ascii="Courier New" w:cs="Courier New" w:eastAsia="Courier New" w:hAnsi="Courier New"/>
                <w:color w:val="1A1A2E"/>
                <w:sz w:val="18"/>
                <w:szCs w:val="18"/>
              </w:rPr>
              <w:t xml:space="preserve"># .env — required before docker compose up</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POSTGRES_USER=riskapi</w:t>
            </w:r>
          </w:p>
          <w:p>
            <w:pPr>
              <w:spacing w:after="0" w:line="240"/>
            </w:pPr>
            <w:r>
              <w:rPr>
                <w:rFonts w:ascii="Courier New" w:cs="Courier New" w:eastAsia="Courier New" w:hAnsi="Courier New"/>
                <w:color w:val="1A1A2E"/>
                <w:sz w:val="18"/>
                <w:szCs w:val="18"/>
              </w:rPr>
              <w:t xml:space="preserve">POSTGRES_PASSWORD=&lt;set this&gt;</w:t>
            </w:r>
          </w:p>
          <w:p>
            <w:pPr>
              <w:spacing w:after="0" w:line="240"/>
            </w:pPr>
            <w:r>
              <w:rPr>
                <w:rFonts w:ascii="Courier New" w:cs="Courier New" w:eastAsia="Courier New" w:hAnsi="Courier New"/>
                <w:color w:val="1A1A2E"/>
                <w:sz w:val="18"/>
                <w:szCs w:val="18"/>
              </w:rPr>
              <w:t xml:space="preserve">POSTGRES_DB=riskdb</w:t>
            </w:r>
          </w:p>
          <w:p>
            <w:pPr>
              <w:spacing w:after="0" w:line="240"/>
            </w:pPr>
            <w:r>
              <w:rPr>
                <w:rFonts w:ascii="Courier New" w:cs="Courier New" w:eastAsia="Courier New" w:hAnsi="Courier New"/>
                <w:color w:val="1A1A2E"/>
                <w:sz w:val="18"/>
                <w:szCs w:val="18"/>
              </w:rPr>
              <w:t xml:space="preserve">POSTGRES_HOST=postgres</w:t>
            </w:r>
          </w:p>
          <w:p>
            <w:pPr>
              <w:spacing w:after="0" w:line="240"/>
            </w:pPr>
            <w:r>
              <w:rPr>
                <w:rFonts w:ascii="Courier New" w:cs="Courier New" w:eastAsia="Courier New" w:hAnsi="Courier New"/>
                <w:color w:val="1A1A2E"/>
                <w:sz w:val="18"/>
                <w:szCs w:val="18"/>
              </w:rPr>
              <w:t xml:space="preserve">POSTGRES_PORT=5432</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API_KEY=&lt;set this&gt;          # enforced on all /api/v1/ endpoints</w:t>
            </w:r>
          </w:p>
        </w:tc>
      </w:tr>
    </w:tbl>
    <w:p>
      <w:pPr>
        <w:spacing w:after="80"/>
      </w:pPr>
    </w:p>
    <w:p>
      <w:pPr>
        <w:pStyle w:val="Heading1"/>
      </w:pPr>
      <w:r>
        <w:t xml:space="preserve">9. Open Questions</w:t>
      </w:r>
    </w:p>
    <w:p>
      <w:pPr>
        <w:pStyle w:val="ListParagraph"/>
        <w:numPr>
          <w:ilvl w:val="0"/>
          <w:numId w:val="2"/>
        </w:numPr>
        <w:spacing w:after="100"/>
      </w:pPr>
      <w:r>
        <w:rPr>
          <w:b w:val="false"/>
          <w:bCs w:val="false"/>
        </w:rPr>
        <w:t xml:space="preserve">Risk factor schema — must be agreed before schema design begins. See §6.</w:t>
      </w:r>
    </w:p>
    <w:p>
      <w:pPr>
        <w:pStyle w:val="ListParagraph"/>
        <w:numPr>
          <w:ilvl w:val="0"/>
          <w:numId w:val="2"/>
        </w:numPr>
        <w:spacing w:after="100"/>
      </w:pPr>
      <w:r>
        <w:rPr>
          <w:b w:val="false"/>
          <w:bCs w:val="false"/>
        </w:rPr>
        <w:t xml:space="preserve">Customer ID format — must be agreed before routing and validation are written.</w:t>
      </w:r>
    </w:p>
    <w:p>
      <w:pPr>
        <w:pStyle w:val="ListParagraph"/>
        <w:numPr>
          <w:ilvl w:val="0"/>
          <w:numId w:val="2"/>
        </w:numPr>
        <w:spacing w:after="100"/>
      </w:pPr>
      <w:r>
        <w:rPr>
          <w:b w:val="false"/>
          <w:bCs w:val="false"/>
        </w:rPr>
        <w:t xml:space="preserve">Operational lifetime — if this moves beyond demo, the unified service topology (Candidate C) is the first thing to revisit.</w:t>
      </w:r>
    </w:p>
    <w:p>
      <w:pPr>
        <w:pStyle w:val="ListParagraph"/>
        <w:numPr>
          <w:ilvl w:val="0"/>
          <w:numId w:val="2"/>
        </w:numPr>
        <w:spacing w:after="100"/>
      </w:pPr>
      <w:r>
        <w:rPr>
          <w:b w:val="false"/>
          <w:bCs w:val="false"/>
        </w:rPr>
        <w:t xml:space="preserve">psycopg2 pool size — default to 5 unless concurrency ceiling is provided.</w:t>
      </w:r>
    </w:p>
    <w:p>
      <w:pPr>
        <w:spacing w:after="80"/>
      </w:pPr>
    </w:p>
    <w:p>
      <w:pPr>
        <w:pBdr>
          <w:bottom w:val="single" w:color="DDDDDD" w:sz="4" w:space="1"/>
        </w:pBdr>
        <w:spacing w:after="240"/>
      </w:pPr>
    </w:p>
    <w:p>
      <w:pPr>
        <w:spacing w:after="0"/>
        <w:jc w:val="right"/>
      </w:pPr>
      <w:r>
        <w:rPr>
          <w:color w:val="AAAAAA"/>
          <w:sz w:val="18"/>
          <w:szCs w:val="18"/>
        </w:rPr>
        <w:t xml:space="preserve">Customer Risk API  ·  v1.0  ·  Training Demo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Customer Risk API  ·  Architecture Decision Record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4" w:space="4"/>
      </w:pBd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2026-03-26T09:25:11.669Z</dcterms:created>
  <dcterms:modified xsi:type="dcterms:W3CDTF">2026-03-26T09:25:11.670Z</dcterms:modified>
</cp:coreProperties>
</file>

<file path=docProps/custom.xml><?xml version="1.0" encoding="utf-8"?>
<Properties xmlns="http://schemas.openxmlformats.org/officeDocument/2006/custom-properties" xmlns:vt="http://schemas.openxmlformats.org/officeDocument/2006/docPropsVTypes"/>
</file>