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91"/>
          <w:sz w:val="44"/>
        </w:rPr>
        <w:t>EBM API Readiness Assessment (Updated)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4"/>
        </w:rPr>
        <w:t>HMS HotelERP — Web CIS only (pos-mini deferred)</w:t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Date: 2026-07-12  |  After web EBM foundation implementation</w:t>
      </w:r>
    </w:p>
    <w:p>
      <w:pPr>
        <w:pStyle w:val="Heading1"/>
      </w:pPr>
      <w:r>
        <w:rPr>
          <w:color w:val="0B3D91"/>
        </w:rPr>
        <w:t>1. Overall Progress</w:t>
      </w:r>
    </w:p>
    <w:p>
      <w:pPr>
        <w:jc w:val="center"/>
      </w:pPr>
      <w:r>
        <w:rPr>
          <w:rFonts w:ascii="Calibri" w:hAnsi="Calibri" w:eastAsia="Calibri"/>
          <w:b/>
          <w:color w:val="008040"/>
          <w:sz w:val="96"/>
        </w:rPr>
        <w:t>62%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Web EBM readiness (backend + frontend CIS foundation)</w:t>
      </w:r>
    </w:p>
    <w:p>
      <w:r>
        <w:rPr>
          <w:rFonts w:ascii="Calibri" w:hAnsi="Calibri" w:eastAsia="Calibri"/>
          <w:b w:val="0"/>
          <w:sz w:val="20"/>
        </w:rPr>
        <w:t>The web stack now implements RRA developer rules 1–8 in code: ordered outbox, itemCd, lastReqDt cursors, encrypted device keys, Initialization UI, and sale hooks. Remaining gap is Phase 0 confirmation against official RRA docs + sandbox credentials + live end-to-end test. pos-mini was intentionally left out.</w:t>
      </w:r>
    </w:p>
    <w:p>
      <w:pPr>
        <w:pStyle w:val="Heading1"/>
      </w:pPr>
      <w:r>
        <w:rPr>
          <w:color w:val="0B3D91"/>
        </w:rPr>
        <w:t>2. Score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3D91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2493"/>
            <w:shd w:fill="0B3D91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493"/>
            <w:shd w:fill="0B3D91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Progress</w:t>
            </w:r>
          </w:p>
        </w:tc>
        <w:tc>
          <w:tcPr>
            <w:tcW w:type="dxa" w:w="2493"/>
            <w:shd w:fill="0B3D91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Weighted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Design / integration plan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9.5%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Phase 0 — official RRA doc + decisions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Phase 1 — device registration &amp; keys (web)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13.5%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Phase 2 — itemCd + classification (web)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10.2%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Phase 3 — TaxableSaleEvent + outbox tables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11.4%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Phase 4 — submission pipeline (seq 1–3)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12.0%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Phase 5 — lastReqDt sync + 24h monitor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6.0%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Phase 6 — pos-mini EBM module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 (deferred)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Phase 7 — reporting / audit UI (web)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4.5%</w:t>
            </w:r>
          </w:p>
        </w:tc>
      </w:tr>
      <w:tr>
        <w:tc>
          <w:tcPr>
            <w:tcW w:type="dxa" w:w="2493"/>
            <w:shd w:fill="E8EEF7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TOTAL (web-focused)</w:t>
            </w:r>
          </w:p>
        </w:tc>
        <w:tc>
          <w:tcPr>
            <w:tcW w:type="dxa" w:w="2493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100%</w:t>
            </w:r>
          </w:p>
        </w:tc>
        <w:tc>
          <w:tcPr>
            <w:tcW w:type="dxa" w:w="2493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—</w:t>
            </w:r>
          </w:p>
        </w:tc>
        <w:tc>
          <w:tcPr>
            <w:tcW w:type="dxa" w:w="2493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~62%</w:t>
            </w:r>
          </w:p>
        </w:tc>
      </w:tr>
    </w:tbl>
    <w:p>
      <w:pPr>
        <w:pStyle w:val="Heading1"/>
      </w:pPr>
      <w:r>
        <w:rPr>
          <w:color w:val="0B3D91"/>
        </w:rPr>
        <w:t>3. RRA Rules — Now Implemented on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3D91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0B3D91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324"/>
            <w:shd w:fill="0B3D91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Web status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Transaction before Invoice (else 922)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006400"/>
                <w:sz w:val="18"/>
              </w:rPr>
              <w:t>Implemented — outbox depends_on + BLOCKED on 922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I/O after invoice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006400"/>
                <w:sz w:val="18"/>
              </w:rPr>
              <w:t>Implemented — STOCK_IO after INVOICE ACK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master after stock I/O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006400"/>
                <w:sz w:val="18"/>
              </w:rPr>
              <w:t>Implemented — STOCK_MASTER after STOCK_IO ACK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lastReqDt per category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006400"/>
                <w:sz w:val="18"/>
              </w:rPr>
              <w:t>Implemented — ebm_sync_cursor + EbmSyncJob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24h offline / redundancy alerts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006400"/>
                <w:sz w:val="18"/>
              </w:rPr>
              <w:t>Implemented — last_signature_at + WARN/CRITICAL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Unique itemCd RRA format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006400"/>
                <w:sz w:val="18"/>
              </w:rPr>
              <w:t>Implemented — ItemCdGenerator + sequence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Device keys from Init, secure store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006400"/>
                <w:sz w:val="18"/>
              </w:rPr>
              <w:t>Implemented — AES-GCM encrypted keys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VSDC LAN / OSDC always-online mode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006400"/>
                <w:sz w:val="18"/>
              </w:rPr>
              <w:t>Implemented — mode + endpoint per device</w:t>
            </w:r>
          </w:p>
        </w:tc>
      </w:tr>
    </w:tbl>
    <w:p>
      <w:pPr>
        <w:pStyle w:val="Heading1"/>
      </w:pPr>
      <w:r>
        <w:rPr>
          <w:color w:val="0B3D91"/>
        </w:rPr>
        <w:t>4. What was built (web only)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Flyway V95__ebm_integration.sql — ebm_device, ebm_outbox, taxable_sale_event, ebm_sync_cursor, itemCd columns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Backend module: EbmClient, ItemCdGenerator, EbmKeyCrypto, device/outbox/sync services, scheduled workers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Sale hooks: DepotSale, InvSalesInvoice issue, hotel checkout Invoice, F&amp;B CLOSED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API: /api/v1/hotels/{hotelId}/ebm/*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Frontend: Settings → EBM / RRA fiscalization (register, Initialize, outbox, sale events)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Config: HMS_EBM_ENABLED, EBM_KEY_ENCRYPTION_SECRET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pos-mini: unchanged (explicitly deferred)</w:t>
      </w:r>
    </w:p>
    <w:p>
      <w:pPr>
        <w:pStyle w:val="Heading1"/>
      </w:pPr>
      <w:r>
        <w:rPr>
          <w:color w:val="0B3D91"/>
        </w:rPr>
        <w:t>5. To receive RRA sandbox API access</w:t>
      </w:r>
    </w:p>
    <w:p>
      <w:pPr>
        <w:pStyle w:val="ListNumber"/>
      </w:pPr>
      <w:r>
        <w:rPr>
          <w:rFonts w:ascii="Calibri" w:hAnsi="Calibri" w:eastAsia="Calibri"/>
          <w:b w:val="0"/>
          <w:sz w:val="20"/>
        </w:rPr>
        <w:t>Share this assessment + show Settings → EBM screen and outbox sequencing design</w:t>
      </w:r>
    </w:p>
    <w:p>
      <w:pPr>
        <w:pStyle w:val="ListNumber"/>
      </w:pPr>
      <w:r>
        <w:rPr>
          <w:rFonts w:ascii="Calibri" w:hAnsi="Calibri" w:eastAsia="Calibri"/>
          <w:b w:val="0"/>
          <w:sz w:val="20"/>
        </w:rPr>
        <w:t>Provide TIN, branch, chosen mode (VSDC vs OSDC), and request sandbox credentials</w:t>
      </w:r>
    </w:p>
    <w:p>
      <w:pPr>
        <w:pStyle w:val="ListNumber"/>
      </w:pPr>
      <w:r>
        <w:rPr>
          <w:rFonts w:ascii="Calibri" w:hAnsi="Calibri" w:eastAsia="Calibri"/>
          <w:b w:val="0"/>
          <w:sz w:val="20"/>
        </w:rPr>
        <w:t>After credentials: set HMS_EBM_ENABLED=true, EBM_KEY_ENCRYPTION_SECRET, register device, Initialize</w:t>
      </w:r>
    </w:p>
    <w:p>
      <w:pPr>
        <w:pStyle w:val="ListNumber"/>
      </w:pPr>
      <w:r>
        <w:rPr>
          <w:rFonts w:ascii="Calibri" w:hAnsi="Calibri" w:eastAsia="Calibri"/>
          <w:b w:val="0"/>
          <w:sz w:val="20"/>
        </w:rPr>
        <w:t>Confirm official endpoint paths against RRA PDF and adjust hms.ebm.paths.* if needed</w:t>
      </w:r>
    </w:p>
    <w:p>
      <w:pPr>
        <w:pStyle w:val="ListNumber"/>
      </w:pPr>
      <w:r>
        <w:rPr>
          <w:rFonts w:ascii="Calibri" w:hAnsi="Calibri" w:eastAsia="Calibri"/>
          <w:b w:val="0"/>
          <w:sz w:val="20"/>
        </w:rPr>
        <w:t>Run one sandbox sale end-to-end and verify receipt/signature stored on taxable_sale_event</w:t>
      </w:r>
    </w:p>
    <w:p>
      <w:pPr>
        <w:pStyle w:val="Heading1"/>
      </w:pPr>
      <w:r>
        <w:rPr>
          <w:color w:val="0B3D91"/>
        </w:rPr>
        <w:t>6. Quick percentages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3D91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986"/>
            <w:shd w:fill="0B3D91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Web CIS foundation (code)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~75%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Ready to request sandbox API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~70%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Ready for production go-live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~40%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pos-mini EBM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0% (deferred)</w:t>
            </w:r>
          </w:p>
        </w:tc>
      </w:tr>
      <w:tr>
        <w:tc>
          <w:tcPr>
            <w:tcW w:type="dxa" w:w="4986"/>
            <w:shd w:fill="F0FFF0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OVERALL (web-focused project)</w:t>
            </w:r>
          </w:p>
        </w:tc>
        <w:tc>
          <w:tcPr>
            <w:tcW w:type="dxa" w:w="4986"/>
            <w:shd w:fill="F0FFF0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8040"/>
                <w:sz w:val="20"/>
              </w:rPr>
              <w:t>62%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