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6" w:name="X3637e89598455aabd1daaccdef7653e3357a434"/>
    <w:p>
      <w:pPr>
        <w:pStyle w:val="Heading1"/>
      </w:pPr>
      <w:r>
        <w:t xml:space="preserve">EBM (Rwanda RRA Electronic Billing Machine) Integration — Spec &amp; Implementation Plan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Design phase — no EBM code exists in the repo yet.</w:t>
      </w:r>
      <w:r>
        <w:t xml:space="preserve"> </w:t>
      </w:r>
      <w:r>
        <w:rPr>
          <w:bCs/>
          <w:b/>
        </w:rPr>
        <w:t xml:space="preserve">Scope decision:</w:t>
      </w:r>
      <w:r>
        <w:t xml:space="preserve"> </w:t>
      </w:r>
      <w:r>
        <w:t xml:space="preserve">Both channels integrate — the</w:t>
      </w:r>
      <w:r>
        <w:t xml:space="preserve"> </w:t>
      </w:r>
      <w:r>
        <w:rPr>
          <w:bCs/>
          <w:b/>
        </w:rPr>
        <w:t xml:space="preserve">Java backend</w:t>
      </w:r>
      <w:r>
        <w:t xml:space="preserve"> </w:t>
      </w:r>
      <w:r>
        <w:t xml:space="preserve">(hotel folio, depot/retail, F&amp;B, ERP sales) and the</w:t>
      </w:r>
      <w:r>
        <w:t xml:space="preserve"> </w:t>
      </w:r>
      <w:r>
        <w:rPr>
          <w:bCs/>
          <w:b/>
        </w:rPr>
        <w:t xml:space="preserve">pos-mini</w:t>
      </w:r>
      <w:r>
        <w:t xml:space="preserve"> </w:t>
      </w:r>
      <w:r>
        <w:t xml:space="preserve">standalone Expo POS — built from one shared</w:t>
      </w:r>
      <w:r>
        <w:t xml:space="preserve"> </w:t>
      </w:r>
      <w:r>
        <w:rPr>
          <w:bCs/>
          <w:b/>
        </w:rPr>
        <w:t xml:space="preserve">contract</w:t>
      </w:r>
      <w:r>
        <w:t xml:space="preserve"> </w:t>
      </w:r>
      <w:r>
        <w:t xml:space="preserve">(data shapes, sequencing rules,</w:t>
      </w:r>
      <w:r>
        <w:t xml:space="preserve"> </w:t>
      </w:r>
      <w:r>
        <w:rPr>
          <w:rStyle w:val="VerbatimChar"/>
        </w:rPr>
        <w:t xml:space="preserve">itemCd</w:t>
      </w:r>
      <w:r>
        <w:t xml:space="preserve"> </w:t>
      </w:r>
      <w:r>
        <w:t xml:space="preserve">algorithm), with two independent client implementations (Java + TypeScript) because there is no shared JS workspace between</w:t>
      </w:r>
      <w:r>
        <w:t xml:space="preserve"> </w:t>
      </w:r>
      <w:r>
        <w:rPr>
          <w:rStyle w:val="VerbatimChar"/>
        </w:rPr>
        <w:t xml:space="preserve">pos-mini</w:t>
      </w:r>
      <w:r>
        <w:t xml:space="preserve">,</w:t>
      </w:r>
      <w:r>
        <w:t xml:space="preserve"> </w:t>
      </w:r>
      <w:r>
        <w:rPr>
          <w:rStyle w:val="VerbatimChar"/>
        </w:rPr>
        <w:t xml:space="preserve">mobile-pos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frontend</w:t>
      </w:r>
      <w:r>
        <w:t xml:space="preserve"> </w:t>
      </w:r>
      <w:r>
        <w:t xml:space="preserve">today.</w:t>
      </w:r>
      <w:r>
        <w:t xml:space="preserve"> </w:t>
      </w:r>
      <w:r>
        <w:rPr>
          <w:bCs/>
          <w:b/>
        </w:rPr>
        <w:t xml:space="preserve">Disclaimer:</w:t>
      </w:r>
      <w:r>
        <w:t xml:space="preserve"> </w:t>
      </w:r>
      <w:r>
        <w:t xml:space="preserve">This plan is built from the 8 rules you were given (screenshot, 2026-07-02) plus the well-known public architecture of RRA/EBM 2.1 VSDC-family systems (TIN/SDC/MRC registration,</w:t>
      </w:r>
      <w:r>
        <w:t xml:space="preserve"> </w:t>
      </w:r>
      <w:r>
        <w:rPr>
          <w:rStyle w:val="VerbatimChar"/>
        </w:rPr>
        <w:t xml:space="preserve">itemCd</w:t>
      </w:r>
      <w:r>
        <w:t xml:space="preserve"> </w:t>
      </w:r>
      <w:r>
        <w:t xml:space="preserve">structure, delta-sync via</w:t>
      </w:r>
      <w:r>
        <w:t xml:space="preserve"> </w:t>
      </w:r>
      <w:r>
        <w:rPr>
          <w:rStyle w:val="VerbatimChar"/>
        </w:rPr>
        <w:t xml:space="preserve">lastReqDt</w:t>
      </w:r>
      <w:r>
        <w:t xml:space="preserve">). It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assume exact endpoint paths, field names, or payload shapes — those must be pulled from RRA’s official EBM 2.1 CIS/OSDC/VSDC integration guide (or your EBM device vendor’s WAR service doc) before writing the HTTP client. Every place that needs that confirmation is flagged</w:t>
      </w:r>
      <w:r>
        <w:t xml:space="preserve"> </w:t>
      </w:r>
      <w:r>
        <w:rPr>
          <w:bCs/>
          <w:b/>
        </w:rPr>
        <w:t xml:space="preserve">[CONFIRM AGAINST OFFICIAL DOC]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glossary"/>
    <w:p>
      <w:pPr>
        <w:pStyle w:val="Heading2"/>
      </w:pPr>
      <w:r>
        <w:t xml:space="preserve">1. Glossary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EBM</w:t>
            </w:r>
          </w:p>
        </w:tc>
        <w:tc>
          <w:p>
            <w:pPr>
              <w:pStyle w:val="Compact"/>
              <w:jc w:val="left"/>
            </w:pPr>
            <w:r>
              <w:t xml:space="preserve">Electronic Billing Machine — RRA’s fiscalization program (VAT compliance).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CIS</w:t>
            </w:r>
          </w:p>
        </w:tc>
        <w:tc>
          <w:p>
            <w:pPr>
              <w:pStyle w:val="Compact"/>
              <w:jc w:val="left"/>
            </w:pPr>
            <w:r>
              <w:t xml:space="preserve">Customer/Client Invoicing System — this is</w:t>
            </w:r>
            <w:r>
              <w:t xml:space="preserve"> </w:t>
            </w:r>
            <w:r>
              <w:rPr>
                <w:iCs/>
                <w:i/>
              </w:rPr>
              <w:t xml:space="preserve">us</w:t>
            </w:r>
            <w:r>
              <w:t xml:space="preserve"> </w:t>
            </w:r>
            <w:r>
              <w:t xml:space="preserve">(the HMS backend / pos-mini), the software that talks to the EBM device.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VSDC</w:t>
            </w:r>
          </w:p>
        </w:tc>
        <w:tc>
          <w:p>
            <w:pPr>
              <w:pStyle w:val="Compact"/>
              <w:jc w:val="left"/>
            </w:pPr>
            <w:r>
              <w:t xml:space="preserve">Virtual Sales Data Controller — a locally-deployed WAR service (per business/branch) that signs receipts and holds device keys. Requires reliable LAN connectivity from the CIS to the WAR service.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OSDC</w:t>
            </w:r>
          </w:p>
        </w:tc>
        <w:tc>
          <w:p>
            <w:pPr>
              <w:pStyle w:val="Compact"/>
              <w:jc w:val="left"/>
            </w:pPr>
            <w:r>
              <w:t xml:space="preserve">Online Sales Data Controller — RRA-hosted cloud equivalent of VSDC. Requires the CIS to be permanently online.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TIN</w:t>
            </w:r>
          </w:p>
        </w:tc>
        <w:tc>
          <w:p>
            <w:pPr>
              <w:pStyle w:val="Compact"/>
              <w:jc w:val="left"/>
            </w:pPr>
            <w:r>
              <w:t xml:space="preserve">Taxpayer Identification Number.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SDC ID / MRC No</w:t>
            </w:r>
          </w:p>
        </w:tc>
        <w:tc>
          <w:p>
            <w:pPr>
              <w:pStyle w:val="Compact"/>
              <w:jc w:val="left"/>
            </w:pPr>
            <w:r>
              <w:t xml:space="preserve">Identifiers issued to a specific device during Initialization; used to sign/verify every subsequent call.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itemCd</w:t>
            </w:r>
          </w:p>
        </w:tc>
        <w:tc>
          <w:p>
            <w:pPr>
              <w:pStyle w:val="Compact"/>
              <w:jc w:val="left"/>
            </w:pPr>
            <w:r>
              <w:t xml:space="preserve">Mandatory unique item code:</w:t>
            </w:r>
            <w:r>
              <w:t xml:space="preserve"> </w:t>
            </w:r>
            <w:r>
              <w:rPr>
                <w:rStyle w:val="VerbatimChar"/>
              </w:rPr>
              <w:t xml:space="preserve">[CountryCode(2)][ProductType(1)][PackagingUnit(2)][QtyUnit(2)][7-digit sequence]</w:t>
            </w:r>
            <w:r>
              <w:t xml:space="preserve">, e.g. </w:t>
            </w:r>
            <w:r>
              <w:rPr>
                <w:rStyle w:val="VerbatimChar"/>
              </w:rPr>
              <w:t xml:space="preserve">RW2NTBA0000012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lastReqDt</w:t>
            </w:r>
          </w:p>
        </w:tc>
        <w:tc>
          <w:p>
            <w:pPr>
              <w:pStyle w:val="Compact"/>
              <w:jc w:val="left"/>
            </w:pPr>
            <w:r>
              <w:t xml:space="preserve">Last-request timestamp per data category; sent on every pull so RRA returns only deltas.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Receipt signature</w:t>
            </w:r>
          </w:p>
        </w:tc>
        <w:tc>
          <w:p>
            <w:pPr>
              <w:pStyle w:val="Compact"/>
              <w:jc w:val="left"/>
            </w:pPr>
            <w:r>
              <w:t xml:space="preserve">Cryptographic proof returned by the device per issued receipt; the 24-hour offline rule is measured from the last one issued.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Xd7eb586cb82107df211ffa00fb593ca479137e7"/>
    <w:p>
      <w:pPr>
        <w:pStyle w:val="Heading2"/>
      </w:pPr>
      <w:r>
        <w:t xml:space="preserve">2. Regulatory rules → engineering requirements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Rule (as given)</w:t>
            </w:r>
          </w:p>
        </w:tc>
        <w:tc>
          <w:p>
            <w:pPr>
              <w:pStyle w:val="Compact"/>
              <w:jc w:val="left"/>
            </w:pPr>
            <w:r>
              <w:t xml:space="preserve">Engineering requirement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Invoice must be preceded by a Sales</w:t>
            </w:r>
            <w:r>
              <w:t xml:space="preserve"> </w:t>
            </w:r>
            <w:r>
              <w:rPr>
                <w:bCs/>
                <w:b/>
              </w:rPr>
              <w:t xml:space="preserve">Transaction</w:t>
            </w:r>
            <w:r>
              <w:t xml:space="preserve"> </w:t>
            </w:r>
            <w:r>
              <w:t xml:space="preserve">submission, else error 922</w:t>
            </w:r>
          </w:p>
        </w:tc>
        <w:tc>
          <w:p>
            <w:pPr>
              <w:pStyle w:val="Compact"/>
              <w:jc w:val="left"/>
            </w:pPr>
            <w:r>
              <w:t xml:space="preserve">Enforce a two-phase state machine per sale:</w:t>
            </w:r>
            <w:r>
              <w:t xml:space="preserve"> </w:t>
            </w:r>
            <w:r>
              <w:rPr>
                <w:rStyle w:val="VerbatimChar"/>
              </w:rPr>
              <w:t xml:space="preserve">TRANSACTION_PENDING → TRANSACTION_ACKED → INVOICE_PENDING → INVOICE_ACKED</w:t>
            </w:r>
            <w:r>
              <w:t xml:space="preserve">. Invoice submission code must refuse to run unless the transaction phase is</w:t>
            </w:r>
            <w:r>
              <w:t xml:space="preserve"> </w:t>
            </w:r>
            <w:r>
              <w:rPr>
                <w:rStyle w:val="VerbatimChar"/>
              </w:rPr>
              <w:t xml:space="preserve">ACKED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Stock in/out must follow the related sales invoice submission</w:t>
            </w:r>
          </w:p>
        </w:tc>
        <w:tc>
          <w:p>
            <w:pPr>
              <w:pStyle w:val="Compact"/>
              <w:jc w:val="left"/>
            </w:pPr>
            <w:r>
              <w:t xml:space="preserve">Stock-IO submission is gated on</w:t>
            </w:r>
            <w:r>
              <w:t xml:space="preserve"> </w:t>
            </w:r>
            <w:r>
              <w:rPr>
                <w:rStyle w:val="VerbatimChar"/>
              </w:rPr>
              <w:t xml:space="preserve">INVOICE_ACKED</w:t>
            </w:r>
            <w:r>
              <w:t xml:space="preserve"> </w:t>
            </w:r>
            <w:r>
              <w:t xml:space="preserve">for sale-driven movements.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Stock master update must follow stock in/out</w:t>
            </w:r>
          </w:p>
        </w:tc>
        <w:tc>
          <w:p>
            <w:pPr>
              <w:pStyle w:val="Compact"/>
              <w:jc w:val="left"/>
            </w:pPr>
            <w:r>
              <w:t xml:space="preserve">Stock-master submission is gated on</w:t>
            </w:r>
            <w:r>
              <w:t xml:space="preserve"> </w:t>
            </w:r>
            <w:r>
              <w:rPr>
                <w:rStyle w:val="VerbatimChar"/>
              </w:rPr>
              <w:t xml:space="preserve">STOCK_IO_ACKED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Track</w:t>
            </w:r>
            <w:r>
              <w:t xml:space="preserve"> </w:t>
            </w:r>
            <w:r>
              <w:rPr>
                <w:rStyle w:val="VerbatimChar"/>
              </w:rPr>
              <w:t xml:space="preserve">lastReqDt</w:t>
            </w:r>
            <w:r>
              <w:t xml:space="preserve"> </w:t>
            </w:r>
            <w:r>
              <w:t xml:space="preserve">per data category, resend it on every pull</w:t>
            </w:r>
          </w:p>
        </w:tc>
        <w:tc>
          <w:p>
            <w:pPr>
              <w:pStyle w:val="Compact"/>
              <w:jc w:val="left"/>
            </w:pPr>
            <w:r>
              <w:t xml:space="preserve">Persist a cursor row per (device, category); every scheduled pull job reads-then-updates it inside the same transaction as the HTTP call.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&gt;24h offline after a receipt signature ⇒ VSDC stops issuing receipt numbers; build redundancy</w:t>
            </w:r>
          </w:p>
        </w:tc>
        <w:tc>
          <w:p>
            <w:pPr>
              <w:pStyle w:val="Compact"/>
              <w:jc w:val="left"/>
            </w:pPr>
            <w:r>
              <w:t xml:space="preserve">Track</w:t>
            </w:r>
            <w:r>
              <w:t xml:space="preserve"> </w:t>
            </w:r>
            <w:r>
              <w:rPr>
                <w:rStyle w:val="VerbatimChar"/>
              </w:rPr>
              <w:t xml:space="preserve">last_signature_at</w:t>
            </w:r>
            <w:r>
              <w:t xml:space="preserve"> </w:t>
            </w:r>
            <w:r>
              <w:t xml:space="preserve">per device; alert well before 24h; durable outbox with retry/backoff so no data is lost while blocked; ops runbook for restoring connectivity.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Every item needs a unique</w:t>
            </w:r>
            <w:r>
              <w:t xml:space="preserve"> </w:t>
            </w:r>
            <w:r>
              <w:rPr>
                <w:rStyle w:val="VerbatimChar"/>
              </w:rPr>
              <w:t xml:space="preserve">itemCd</w:t>
            </w:r>
            <w:r>
              <w:t xml:space="preserve"> </w:t>
            </w:r>
            <w:r>
              <w:t xml:space="preserve">in the RRA format</w:t>
            </w:r>
          </w:p>
        </w:tc>
        <w:tc>
          <w:p>
            <w:pPr>
              <w:pStyle w:val="Compact"/>
              <w:jc w:val="left"/>
            </w:pPr>
            <w:r>
              <w:t xml:space="preserve">Add classification fields to every sellable item model + a per-hotel/per-device 7-digit sequence generator.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All calls authenticated by device keys from Initialization; store securely</w:t>
            </w:r>
          </w:p>
        </w:tc>
        <w:tc>
          <w:p>
            <w:pPr>
              <w:pStyle w:val="Compact"/>
              <w:jc w:val="left"/>
            </w:pPr>
            <w:r>
              <w:t xml:space="preserve">One-time Initialization flow per device; keys stored encrypted at rest (not in plaintext columns, not in mobile app storage without OS keystore).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Must be permanently online (OSDC) or maintain reliable LAN to WAR (VSDC)</w:t>
            </w:r>
          </w:p>
        </w:tc>
        <w:tc>
          <w:p>
            <w:pPr>
              <w:pStyle w:val="Compact"/>
              <w:jc w:val="left"/>
            </w:pPr>
            <w:r>
              <w:t xml:space="preserve">Deployment decision per install; health-check + alerting; outbox absorbs transient gaps either way.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776c78c9b4d92ef0dcef4e081c765749a328676"/>
    <w:p>
      <w:pPr>
        <w:pStyle w:val="Heading2"/>
      </w:pPr>
      <w:r>
        <w:t xml:space="preserve">3. Where this plugs into the existing codebase</w:t>
      </w:r>
    </w:p>
    <w:p>
      <w:pPr>
        <w:pStyle w:val="FirstParagraph"/>
      </w:pPr>
      <w:r>
        <w:t xml:space="preserve">The repo currently has</w:t>
      </w:r>
      <w:r>
        <w:t xml:space="preserve"> </w:t>
      </w:r>
      <w:r>
        <w:rPr>
          <w:bCs/>
          <w:b/>
        </w:rPr>
        <w:t xml:space="preserve">four independent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sale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surfaces</w:t>
      </w:r>
      <w:r>
        <w:t xml:space="preserve"> </w:t>
      </w:r>
      <w:r>
        <w:t xml:space="preserve">that are all potentially EBM-taxable events, plus</w:t>
      </w:r>
      <w:r>
        <w:t xml:space="preserve"> </w:t>
      </w:r>
      <w:r>
        <w:rPr>
          <w:bCs/>
          <w:b/>
        </w:rPr>
        <w:t xml:space="preserve">two stock-movement models</w:t>
      </w:r>
      <w:r>
        <w:t xml:space="preserve">. This fragmentation is the single biggest structural fact this plan has to deal with — EBM must not be bolted onto each one separately.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Existing surface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Feeds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Hotel folio checkout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backend/.../entity/Invoice.java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InvoiceLineItem</w:t>
            </w:r>
          </w:p>
        </w:tc>
        <w:tc>
          <w:p>
            <w:pPr>
              <w:pStyle w:val="Compact"/>
              <w:jc w:val="left"/>
            </w:pPr>
            <w:r>
              <w:t xml:space="preserve">Room charges, minibar, F&amp;B posted to room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Depot / retail POS sale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backend/.../entity/DepotSale.java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DepotSaleLine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mobile-pos</w:t>
            </w:r>
            <w:r>
              <w:t xml:space="preserve"> </w:t>
            </w:r>
            <w:r>
              <w:t xml:space="preserve">retail/depot channel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Standalone ERP sales invoice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backend/.../entity/InvSalesInvoice.java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InvSalesInvoiceItem</w:t>
            </w:r>
          </w:p>
        </w:tc>
        <w:tc>
          <w:p>
            <w:pPr>
              <w:pStyle w:val="Compact"/>
              <w:jc w:val="left"/>
            </w:pPr>
            <w:r>
              <w:t xml:space="preserve">Inventory-extension module (</w:t>
            </w:r>
            <w:r>
              <w:rPr>
                <w:rStyle w:val="VerbatimChar"/>
              </w:rPr>
              <w:t xml:space="preserve">InvExtService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F&amp;B order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backend/.../entity/FbOrder.java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FbOrderLine</w:t>
            </w:r>
          </w:p>
        </w:tc>
        <w:tc>
          <w:p>
            <w:pPr>
              <w:pStyle w:val="Compact"/>
              <w:jc w:val="left"/>
            </w:pPr>
            <w:r>
              <w:t xml:space="preserve">Restaurant/bar POS, settles into an invoice/depot sale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Stock movement (hotel inventory)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backend/.../entity/StockTransaction.java</w:t>
            </w:r>
            <w:r>
              <w:t xml:space="preserve"> </w:t>
            </w:r>
            <w:r>
              <w:t xml:space="preserve">(against</w:t>
            </w:r>
            <w:r>
              <w:t xml:space="preserve"> </w:t>
            </w:r>
            <w:r>
              <w:rPr>
                <w:rStyle w:val="VerbatimChar"/>
              </w:rPr>
              <w:t xml:space="preserve">InventoryItem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HK/minibar/kitchen consumption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Stock movement (ERP inventory)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InvStockTransfer</w:t>
            </w:r>
            <w:r>
              <w:t xml:space="preserve"> </w:t>
            </w:r>
            <w:r>
              <w:t xml:space="preserve">(against the separate</w:t>
            </w:r>
            <w:r>
              <w:t xml:space="preserve"> </w:t>
            </w:r>
            <w:r>
              <w:rPr>
                <w:rStyle w:val="VerbatimChar"/>
              </w:rPr>
              <w:t xml:space="preserve">Inv*</w:t>
            </w:r>
            <w:r>
              <w:t xml:space="preserve"> </w:t>
            </w:r>
            <w:r>
              <w:t xml:space="preserve">item model)</w:t>
            </w:r>
          </w:p>
        </w:tc>
        <w:tc>
          <w:p>
            <w:pPr>
              <w:pStyle w:val="Compact"/>
              <w:jc w:val="left"/>
            </w:pPr>
            <w:r>
              <w:t xml:space="preserve">ERP depot transfers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pos-mini</w:t>
            </w:r>
            <w:r>
              <w:t xml:space="preserve"> </w:t>
            </w:r>
            <w:r>
              <w:t xml:space="preserve">(fully offline, no backend link today)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pos-mini/src/db/schema.ts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sales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sale_items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stock_movements</w:t>
            </w:r>
          </w:p>
        </w:tc>
        <w:tc>
          <w:p>
            <w:pPr>
              <w:pStyle w:val="Compact"/>
              <w:jc w:val="left"/>
            </w:pPr>
            <w:r>
              <w:t xml:space="preserve">Standalone retail shop, own SQLite, zero connectivity to the Java backend</w:t>
            </w:r>
          </w:p>
        </w:tc>
      </w:tr>
    </w:tbl>
    <w:p>
      <w:pPr>
        <w:pStyle w:val="BodyText"/>
      </w:pPr>
      <w:r>
        <w:rPr>
          <w:bCs/>
          <w:b/>
        </w:rPr>
        <w:t xml:space="preserve">Design response:</w:t>
      </w:r>
      <w:r>
        <w:t xml:space="preserve"> </w:t>
      </w:r>
      <w:r>
        <w:t xml:space="preserve">introduce one small abstraction — a</w:t>
      </w:r>
      <w:r>
        <w:t xml:space="preserve"> </w:t>
      </w:r>
      <w:r>
        <w:rPr>
          <w:rStyle w:val="VerbatimChar"/>
          <w:bCs/>
          <w:b/>
        </w:rPr>
        <w:t xml:space="preserve">TaxableSaleEvent</w:t>
      </w:r>
      <w:r>
        <w:t xml:space="preserve"> </w:t>
      </w:r>
      <w:r>
        <w:t xml:space="preserve">(backend) / equivalent local table (pos-mini) — that each of the four sale surfaces emits into on completion. The EBM submission pipeline only ever consumes</w:t>
      </w:r>
      <w:r>
        <w:t xml:space="preserve"> </w:t>
      </w:r>
      <w:r>
        <w:rPr>
          <w:rStyle w:val="VerbatimChar"/>
        </w:rPr>
        <w:t xml:space="preserve">TaxableSaleEvent</w:t>
      </w:r>
      <w:r>
        <w:t xml:space="preserve">s; it never touches</w:t>
      </w:r>
      <w:r>
        <w:t xml:space="preserve"> </w:t>
      </w:r>
      <w:r>
        <w:rPr>
          <w:rStyle w:val="VerbatimChar"/>
        </w:rPr>
        <w:t xml:space="preserve">Invoice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DepotSale</w:t>
      </w:r>
      <w:r>
        <w:t xml:space="preserve">,</w:t>
      </w:r>
      <w:r>
        <w:t xml:space="preserve"> </w:t>
      </w:r>
      <w:r>
        <w:rPr>
          <w:rStyle w:val="VerbatimChar"/>
        </w:rPr>
        <w:t xml:space="preserve">InvSalesInvoice</w:t>
      </w:r>
      <w:r>
        <w:t xml:space="preserve">, or</w:t>
      </w:r>
      <w:r>
        <w:t xml:space="preserve"> </w:t>
      </w:r>
      <w:r>
        <w:rPr>
          <w:rStyle w:val="VerbatimChar"/>
        </w:rPr>
        <w:t xml:space="preserve">FbOrder</w:t>
      </w:r>
      <w:r>
        <w:t xml:space="preserve"> </w:t>
      </w:r>
      <w:r>
        <w:t xml:space="preserve">directly. This means adding a new sale channel later doesn’t require touching EBM code again.</w:t>
      </w:r>
    </w:p>
    <w:p>
      <w:pPr>
        <w:pStyle w:val="BodyText"/>
      </w:pPr>
      <w:r>
        <w:rPr>
          <w:rStyle w:val="VerbatimChar"/>
        </w:rPr>
        <w:t xml:space="preserve">mobile-pos</w:t>
      </w:r>
      <w:r>
        <w:t xml:space="preserve"> </w:t>
      </w:r>
      <w:r>
        <w:t xml:space="preserve">needs</w:t>
      </w:r>
      <w:r>
        <w:t xml:space="preserve"> </w:t>
      </w:r>
      <w:r>
        <w:rPr>
          <w:bCs/>
          <w:b/>
        </w:rPr>
        <w:t xml:space="preserve">no direct EBM work</w:t>
      </w:r>
      <w:r>
        <w:t xml:space="preserve">: it already relays every sale to the backend via</w:t>
      </w:r>
      <w:r>
        <w:t xml:space="preserve"> </w:t>
      </w:r>
      <w:r>
        <w:rPr>
          <w:rStyle w:val="VerbatimChar"/>
        </w:rPr>
        <w:t xml:space="preserve">mobile-pos/src/api/*.ts</w:t>
      </w:r>
      <w:r>
        <w:t xml:space="preserve"> </w:t>
      </w:r>
      <w:r>
        <w:t xml:space="preserve">(with</w:t>
      </w:r>
      <w:r>
        <w:t xml:space="preserve"> </w:t>
      </w:r>
      <w:r>
        <w:rPr>
          <w:rStyle w:val="VerbatimChar"/>
        </w:rPr>
        <w:t xml:space="preserve">offlineQueueStore.ts</w:t>
      </w:r>
      <w:r>
        <w:t xml:space="preserve"> </w:t>
      </w:r>
      <w:r>
        <w:t xml:space="preserve">as its own transport-level retry queue), so backend-side EBM submission automatically covers it.</w:t>
      </w:r>
      <w:r>
        <w:t xml:space="preserve"> </w:t>
      </w:r>
      <w:r>
        <w:rPr>
          <w:rStyle w:val="VerbatimChar"/>
        </w:rPr>
        <w:t xml:space="preserve">pos-mini</w:t>
      </w:r>
      <w:r>
        <w:t xml:space="preserve"> </w:t>
      </w:r>
      <w:r>
        <w:t xml:space="preserve">has no backend connectivity at all today (confirmed — no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/</w:t>
      </w:r>
      <w:r>
        <w:rPr>
          <w:rStyle w:val="VerbatimChar"/>
        </w:rPr>
        <w:t xml:space="preserve">axios</w:t>
      </w:r>
      <w:r>
        <w:t xml:space="preserve">/API client in</w:t>
      </w:r>
      <w:r>
        <w:t xml:space="preserve"> </w:t>
      </w:r>
      <w:r>
        <w:rPr>
          <w:rStyle w:val="VerbatimChar"/>
        </w:rPr>
        <w:t xml:space="preserve">pos-mini/src</w:t>
      </w:r>
      <w:r>
        <w:t xml:space="preserve">), so it needs its</w:t>
      </w:r>
      <w:r>
        <w:t xml:space="preserve"> </w:t>
      </w:r>
      <w:r>
        <w:rPr>
          <w:bCs/>
          <w:b/>
        </w:rPr>
        <w:t xml:space="preserve">own independent EBM device registration and outbox</w:t>
      </w:r>
      <w:r>
        <w:t xml:space="preserve">, sharing only the contract (item code format, DTO shapes, sequencing rules) with the backend implementation, not runtime code.</w:t>
      </w:r>
    </w:p>
    <w:p>
      <w:r>
        <w:pict>
          <v:rect style="width:0;height:1.5pt" o:hralign="center" o:hrstd="t" o:hr="t"/>
        </w:pict>
      </w:r>
    </w:p>
    <w:bookmarkEnd w:id="22"/>
    <w:bookmarkStart w:id="23" w:name="architecture"/>
    <w:p>
      <w:pPr>
        <w:pStyle w:val="Heading2"/>
      </w:pPr>
      <w:r>
        <w:t xml:space="preserve">4. Architecture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 RRA EBM device layer   │</w:t>
      </w:r>
      <w:r>
        <w:br/>
      </w:r>
      <w:r>
        <w:rPr>
          <w:rStyle w:val="VerbatimChar"/>
        </w:rPr>
        <w:t xml:space="preserve">                    │  VSDC (local WAR) / OSDC │</w:t>
      </w:r>
      <w:r>
        <w:br/>
      </w:r>
      <w:r>
        <w:rPr>
          <w:rStyle w:val="VerbatimChar"/>
        </w:rPr>
        <w:t xml:space="preserve">                    └────────────┬─────────────┘</w:t>
      </w:r>
      <w:r>
        <w:br/>
      </w:r>
      <w:r>
        <w:rPr>
          <w:rStyle w:val="VerbatimChar"/>
        </w:rPr>
        <w:t xml:space="preserve">                     device A    │    device B</w:t>
      </w:r>
      <w:r>
        <w:br/>
      </w:r>
      <w:r>
        <w:rPr>
          <w:rStyle w:val="VerbatimChar"/>
        </w:rPr>
        <w:t xml:space="preserve">              ┌──────────────────┴──────────────────┐</w:t>
      </w:r>
      <w:r>
        <w:br/>
      </w:r>
      <w:r>
        <w:rPr>
          <w:rStyle w:val="VerbatimChar"/>
        </w:rPr>
        <w:t xml:space="preserve">              │                                       │</w:t>
      </w:r>
      <w:r>
        <w:br/>
      </w:r>
      <w:r>
        <w:rPr>
          <w:rStyle w:val="VerbatimChar"/>
        </w:rPr>
        <w:t xml:space="preserve">   ┌──────────▼───────────┐                ┌──────────▼───────────┐</w:t>
      </w:r>
      <w:r>
        <w:br/>
      </w:r>
      <w:r>
        <w:rPr>
          <w:rStyle w:val="VerbatimChar"/>
        </w:rPr>
        <w:t xml:space="preserve">   │  HMS Backend (Java)   │                │   pos-mini (Expo/TS) │</w:t>
      </w:r>
      <w:r>
        <w:br/>
      </w:r>
      <w:r>
        <w:rPr>
          <w:rStyle w:val="VerbatimChar"/>
        </w:rPr>
        <w:t xml:space="preserve">   │  ebm/ module          │                │   src/ebm/ module    │</w:t>
      </w:r>
      <w:r>
        <w:br/>
      </w:r>
      <w:r>
        <w:rPr>
          <w:rStyle w:val="VerbatimChar"/>
        </w:rPr>
        <w:t xml:space="preserve">   │  - own SDC/MRC keys   │                │   - own SDC/MRC keys │</w:t>
      </w:r>
      <w:r>
        <w:br/>
      </w:r>
      <w:r>
        <w:rPr>
          <w:rStyle w:val="VerbatimChar"/>
        </w:rPr>
        <w:t xml:space="preserve">   │  - own outbox table   │                │   - own outbox table │</w:t>
      </w:r>
      <w:r>
        <w:br/>
      </w:r>
      <w:r>
        <w:rPr>
          <w:rStyle w:val="VerbatimChar"/>
        </w:rPr>
        <w:t xml:space="preserve">   │  - own lastReqDt cur. │                │   - own cursor table │</w:t>
      </w:r>
      <w:r>
        <w:br/>
      </w:r>
      <w:r>
        <w:rPr>
          <w:rStyle w:val="VerbatimChar"/>
        </w:rPr>
        <w:t xml:space="preserve">   └──────────┬────────────┘                └──────────────────────┘</w:t>
      </w:r>
      <w:r>
        <w:br/>
      </w:r>
      <w:r>
        <w:rPr>
          <w:rStyle w:val="VerbatimChar"/>
        </w:rPr>
        <w:t xml:space="preserve">              │ emits TaxableSaleEvent</w:t>
      </w:r>
      <w:r>
        <w:br/>
      </w:r>
      <w:r>
        <w:rPr>
          <w:rStyle w:val="VerbatimChar"/>
        </w:rPr>
        <w:t xml:space="preserve">   ┌──────────┴─────────────────────────────┐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Invoice │ DepotSale │ InvSalesInvoice │ FbOrder │  (mobile-pos relays here)</w:t>
      </w:r>
      <w:r>
        <w:br/>
      </w:r>
      <w:r>
        <w:rPr>
          <w:rStyle w:val="VerbatimChar"/>
        </w:rPr>
        <w:t xml:space="preserve">   └──────────────────────────────────────────┘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Two</w:t>
      </w:r>
      <w:r>
        <w:t xml:space="preserve"> </w:t>
      </w:r>
      <w:r>
        <w:rPr>
          <w:bCs/>
          <w:b/>
        </w:rPr>
        <w:t xml:space="preserve">independent</w:t>
      </w:r>
      <w:r>
        <w:t xml:space="preserve"> </w:t>
      </w:r>
      <w:r>
        <w:t xml:space="preserve">device registrations (one per channel), because</w:t>
      </w:r>
      <w:r>
        <w:t xml:space="preserve"> </w:t>
      </w:r>
      <w:r>
        <w:rPr>
          <w:rStyle w:val="VerbatimChar"/>
        </w:rPr>
        <w:t xml:space="preserve">pos-mini</w:t>
      </w:r>
      <w:r>
        <w:t xml:space="preserve"> </w:t>
      </w:r>
      <w:r>
        <w:t xml:space="preserve">cannot assume it will ever see the backend. Both implementations conform to the same</w:t>
      </w:r>
      <w:r>
        <w:t xml:space="preserve"> </w:t>
      </w:r>
      <w:r>
        <w:rPr>
          <w:bCs/>
          <w:b/>
        </w:rPr>
        <w:t xml:space="preserve">EBM Contract</w:t>
      </w:r>
      <w:r>
        <w:t xml:space="preserve"> </w:t>
      </w:r>
      <w:r>
        <w:t xml:space="preserve">(§5) so behavior, retry semantics, and</w:t>
      </w:r>
      <w:r>
        <w:t xml:space="preserve"> </w:t>
      </w:r>
      <w:r>
        <w:rPr>
          <w:rStyle w:val="VerbatimChar"/>
        </w:rPr>
        <w:t xml:space="preserve">itemCd</w:t>
      </w:r>
      <w:r>
        <w:t xml:space="preserve"> </w:t>
      </w:r>
      <w:r>
        <w:t xml:space="preserve">format stay identical.</w:t>
      </w:r>
    </w:p>
    <w:p>
      <w:r>
        <w:pict>
          <v:rect style="width:0;height:1.5pt" o:hralign="center" o:hrstd="t" o:hr="t"/>
        </w:pict>
      </w:r>
    </w:p>
    <w:bookmarkEnd w:id="23"/>
    <w:bookmarkStart w:id="24" w:name="X965aacbc3b58e7b42faff774085264910680ced"/>
    <w:p>
      <w:pPr>
        <w:pStyle w:val="Heading2"/>
      </w:pPr>
      <w:r>
        <w:t xml:space="preserve">5. Shared EBM Contract (source of truth, language-agnostic)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docs/ebm/contract.md</w:t>
      </w:r>
      <w:r>
        <w:t xml:space="preserve"> </w:t>
      </w:r>
      <w:r>
        <w:t xml:space="preserve">(or JSON Schema files under</w:t>
      </w:r>
      <w:r>
        <w:t xml:space="preserve"> </w:t>
      </w:r>
      <w:r>
        <w:rPr>
          <w:rStyle w:val="VerbatimChar"/>
        </w:rPr>
        <w:t xml:space="preserve">docs/ebm/schemas/</w:t>
      </w:r>
      <w:r>
        <w:t xml:space="preserve">) defining, independent of language: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Sequencing state machine</w:t>
      </w:r>
      <w:r>
        <w:t xml:space="preserve"> </w:t>
      </w:r>
      <w:r>
        <w:t xml:space="preserve">— the exact states/transitions from §2 rules 1–3.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itemCd</w:t>
      </w:r>
      <w:r>
        <w:rPr>
          <w:bCs/>
          <w:b/>
        </w:rPr>
        <w:t xml:space="preserve"> </w:t>
      </w:r>
      <w:r>
        <w:rPr>
          <w:bCs/>
          <w:b/>
        </w:rPr>
        <w:t xml:space="preserve">algorithm</w:t>
      </w:r>
      <w:r>
        <w:t xml:space="preserve"> </w:t>
      </w:r>
      <w:r>
        <w:t xml:space="preserve">— deterministic function:</w:t>
      </w:r>
      <w:r>
        <w:t xml:space="preserve"> </w:t>
      </w:r>
      <w:r>
        <w:rPr>
          <w:rStyle w:val="VerbatimChar"/>
        </w:rPr>
        <w:t xml:space="preserve">(countryCode="RW", productType, packagingUnit, qtyUnit, sequence) → itemCd</w:t>
      </w:r>
      <w:r>
        <w:t xml:space="preserve">, plus how</w:t>
      </w:r>
      <w:r>
        <w:t xml:space="preserve"> </w:t>
      </w:r>
      <w:r>
        <w:rPr>
          <w:rStyle w:val="VerbatimChar"/>
        </w:rPr>
        <w:t xml:space="preserve">sequence</w:t>
      </w:r>
      <w:r>
        <w:t xml:space="preserve"> </w:t>
      </w:r>
      <w:r>
        <w:t xml:space="preserve">is allocated (per-device monotonic counter, zero-padded to 7 digits).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DTO shapes</w:t>
      </w:r>
      <w:r>
        <w:t xml:space="preserve"> </w:t>
      </w:r>
      <w:r>
        <w:t xml:space="preserve">for: Initialization request/response, Sales Transaction, Sales Invoice, Stock I/O, Stock Master, Code List pull,</w:t>
      </w:r>
      <w:r>
        <w:t xml:space="preserve"> </w:t>
      </w:r>
      <w:r>
        <w:rPr>
          <w:rStyle w:val="VerbatimChar"/>
        </w:rPr>
        <w:t xml:space="preserve">lastReqDt</w:t>
      </w:r>
      <w:r>
        <w:t xml:space="preserve"> </w:t>
      </w:r>
      <w:r>
        <w:t xml:space="preserve">cursor pull.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Outbox entry shape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{id, category, payload, status, attempts, last_error, created_at, submitted_at, acked_at}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Error taxonomy</w:t>
      </w:r>
      <w:r>
        <w:t xml:space="preserve"> </w:t>
      </w:r>
      <w:r>
        <w:t xml:space="preserve">— how error 922 and other rejects map to retry vs. hard-fail vs. alert-human.</w:t>
      </w:r>
    </w:p>
    <w:p>
      <w:pPr>
        <w:pStyle w:val="FirstParagraph"/>
      </w:pPr>
      <w:r>
        <w:t xml:space="preserve">Both the Java module and the pos-mini module are hand-written implementations of this one contract — not generated from it initially, but validated against it in code review and integration tests. If</w:t>
      </w:r>
      <w:r>
        <w:t xml:space="preserve"> </w:t>
      </w:r>
      <w:r>
        <w:rPr>
          <w:rStyle w:val="VerbatimChar"/>
        </w:rPr>
        <w:t xml:space="preserve">pos-mini</w:t>
      </w:r>
      <w:r>
        <w:t xml:space="preserve">/</w:t>
      </w:r>
      <w:r>
        <w:rPr>
          <w:rStyle w:val="VerbatimChar"/>
        </w:rPr>
        <w:t xml:space="preserve">mobile-pos</w:t>
      </w:r>
      <w:r>
        <w:t xml:space="preserve">/</w:t>
      </w:r>
      <w:r>
        <w:rPr>
          <w:rStyle w:val="VerbatimChar"/>
        </w:rPr>
        <w:t xml:space="preserve">frontend</w:t>
      </w:r>
      <w:r>
        <w:t xml:space="preserve"> </w:t>
      </w:r>
      <w:r>
        <w:t xml:space="preserve">ever move into an npm workspace, the TypeScript side can be extracted into a real shared package (</w:t>
      </w:r>
      <w:r>
        <w:rPr>
          <w:rStyle w:val="VerbatimChar"/>
        </w:rPr>
        <w:t xml:space="preserve">@hms/ebm-client</w:t>
      </w:r>
      <w:r>
        <w:t xml:space="preserve">) at that point without redesigning anything.</w:t>
      </w:r>
    </w:p>
    <w:p>
      <w:r>
        <w:pict>
          <v:rect style="width:0;height:1.5pt" o:hralign="center" o:hrstd="t" o:hr="t"/>
        </w:pict>
      </w:r>
    </w:p>
    <w:bookmarkEnd w:id="24"/>
    <w:bookmarkStart w:id="27" w:name="data-model-changes"/>
    <w:p>
      <w:pPr>
        <w:pStyle w:val="Heading2"/>
      </w:pPr>
      <w:r>
        <w:t xml:space="preserve">6. Data model changes</w:t>
      </w:r>
    </w:p>
    <w:bookmarkStart w:id="25" w:name="X2882462fe9b4a3a16107bf5439496c085a02bbc"/>
    <w:p>
      <w:pPr>
        <w:pStyle w:val="Heading3"/>
      </w:pPr>
      <w:r>
        <w:t xml:space="preserve">6.1 Backend (new Flyway migration, e.g. </w:t>
      </w:r>
      <w:r>
        <w:rPr>
          <w:rStyle w:val="VerbatimChar"/>
        </w:rPr>
        <w:t xml:space="preserve">V70__ebm_integration.sql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-- Device registration &amp; keys (one row per physical/logical EBM device, e.g. per hotel)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ebm_device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hotel_id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hotels(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mode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-- 'VSDC' | 'OSDC'</w:t>
      </w:r>
      <w:r>
        <w:br/>
      </w:r>
      <w:r>
        <w:rPr>
          <w:rStyle w:val="NormalTok"/>
        </w:rPr>
        <w:t xml:space="preserve">  tin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branch_id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device_serial_no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sdc_id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mrc_no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encrypted_signing_key BYTEA,           </w:t>
      </w:r>
      <w:r>
        <w:rPr>
          <w:rStyle w:val="CommentTok"/>
        </w:rPr>
        <w:t xml:space="preserve">-- envelope-encrypted, see §9</w:t>
      </w:r>
      <w:r>
        <w:br/>
      </w:r>
      <w:r>
        <w:rPr>
          <w:rStyle w:val="NormalTok"/>
        </w:rPr>
        <w:t xml:space="preserve">  key_version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vsdc_endpoint_url TEXT,                </w:t>
      </w:r>
      <w:r>
        <w:rPr>
          <w:rStyle w:val="CommentTok"/>
        </w:rPr>
        <w:t xml:space="preserve">-- WAR service URL for VSDC mode</w:t>
      </w:r>
      <w:r>
        <w:br/>
      </w:r>
      <w:r>
        <w:rPr>
          <w:rStyle w:val="NormalTok"/>
        </w:rPr>
        <w:t xml:space="preserve">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'PENDING_INIT'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last_signature_at TIMESTAMPTZ,         </w:t>
      </w:r>
      <w:r>
        <w:rPr>
          <w:rStyle w:val="CommentTok"/>
        </w:rPr>
        <w:t xml:space="preserve">-- for the 24h rule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Per-category delta-sync cursor (rule 4)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ebm_sync_cursor (</w:t>
      </w:r>
      <w:r>
        <w:br/>
      </w:r>
      <w:r>
        <w:rPr>
          <w:rStyle w:val="NormalTok"/>
        </w:rPr>
        <w:t xml:space="preserve">  device_id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ebm_device(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-- 'ITEM_CLASS' | 'CODE_LIST' | 'CUSTOMER' | ...</w:t>
      </w:r>
      <w:r>
        <w:br/>
      </w:r>
      <w:r>
        <w:rPr>
          <w:rStyle w:val="NormalTok"/>
        </w:rPr>
        <w:t xml:space="preserve">  last_req_dt TIMESTAMPTZ,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(device_id,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Durable outbox (rules 1-3, 5)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ebm_outbox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device_id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ebm_device(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sale_event_id UUID,                    </w:t>
      </w:r>
      <w:r>
        <w:rPr>
          <w:rStyle w:val="CommentTok"/>
        </w:rPr>
        <w:t xml:space="preserve">-- FK to taxable_sale_event, nullable for stock/master-only entries</w:t>
      </w:r>
      <w:r>
        <w:br/>
      </w:r>
      <w:r>
        <w:rPr>
          <w:rStyle w:val="NormalTok"/>
        </w:rPr>
        <w:t xml:space="preserve">  phase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TRANSACTION | INVOICE | STOCK_IO | STOCK_MASTER</w:t>
      </w:r>
      <w:r>
        <w:br/>
      </w:r>
      <w:r>
        <w:rPr>
          <w:rStyle w:val="NormalTok"/>
        </w:rPr>
        <w:t xml:space="preserve">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PENDING | SENT | ACKED | FAILED</w:t>
      </w:r>
      <w:r>
        <w:br/>
      </w:r>
      <w:r>
        <w:rPr>
          <w:rStyle w:val="NormalTok"/>
        </w:rPr>
        <w:t xml:space="preserve">  depends_on_id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ebm_outbox(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enforces the ordering rules</w:t>
      </w:r>
      <w:r>
        <w:br/>
      </w:r>
      <w:r>
        <w:rPr>
          <w:rStyle w:val="NormalTok"/>
        </w:rPr>
        <w:t xml:space="preserve">  payload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response JSONB,</w:t>
      </w:r>
      <w:r>
        <w:br/>
      </w:r>
      <w:r>
        <w:rPr>
          <w:rStyle w:val="NormalTok"/>
        </w:rPr>
        <w:t xml:space="preserve">  attempts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last_error TEXT,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submitted_at TIMESTAMPTZ,</w:t>
      </w:r>
      <w:r>
        <w:br/>
      </w:r>
      <w:r>
        <w:rPr>
          <w:rStyle w:val="NormalTok"/>
        </w:rPr>
        <w:t xml:space="preserve">  acked_at TIMESTAMPTZ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idx_ebm_outbox_pending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ebm_outbox(device_id, status)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Unifying sale abstraction (§3)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taxable_sale_event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hotel_id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hotels(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source_type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-- INVOICE | DEPOT_SALE | INV_SALES_INVOICE | FB_ORDER</w:t>
      </w:r>
      <w:r>
        <w:br/>
      </w:r>
      <w:r>
        <w:rPr>
          <w:rStyle w:val="NormalTok"/>
        </w:rPr>
        <w:t xml:space="preserve">  source_id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ebm_receipt_no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ebm_signature TEXT,</w:t>
      </w:r>
      <w:r>
        <w:br/>
      </w:r>
      <w:r>
        <w:rPr>
          <w:rStyle w:val="NormalTok"/>
        </w:rPr>
        <w:t xml:space="preserve">  ebm_qr_payload TEXT,</w:t>
      </w:r>
      <w:r>
        <w:br/>
      </w:r>
      <w:r>
        <w:rPr>
          <w:rStyle w:val="NormalTok"/>
        </w:rPr>
        <w:t xml:space="preserve">  ebm_status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PENDING | SUBMITTED | CONFIRMED | FAILED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uk_taxable_sale_source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taxable_sale_event(source_type, source_id);</w:t>
      </w:r>
    </w:p>
    <w:p>
      <w:pPr>
        <w:pStyle w:val="FirstParagraph"/>
      </w:pPr>
      <w:r>
        <w:t xml:space="preserve">Also add to</w:t>
      </w:r>
      <w:r>
        <w:t xml:space="preserve"> </w:t>
      </w:r>
      <w:r>
        <w:rPr>
          <w:rStyle w:val="VerbatimChar"/>
        </w:rPr>
        <w:t xml:space="preserve">InventoryItem</w:t>
      </w:r>
      <w:r>
        <w:t xml:space="preserve"> </w:t>
      </w:r>
      <w:r>
        <w:t xml:space="preserve">(and the parallel</w:t>
      </w:r>
      <w:r>
        <w:t xml:space="preserve"> </w:t>
      </w:r>
      <w:r>
        <w:rPr>
          <w:rStyle w:val="VerbatimChar"/>
        </w:rPr>
        <w:t xml:space="preserve">Inv*</w:t>
      </w:r>
      <w:r>
        <w:t xml:space="preserve"> </w:t>
      </w:r>
      <w:r>
        <w:t xml:space="preserve">item entity used by</w:t>
      </w:r>
      <w:r>
        <w:t xml:space="preserve"> </w:t>
      </w:r>
      <w:r>
        <w:rPr>
          <w:rStyle w:val="VerbatimChar"/>
        </w:rPr>
        <w:t xml:space="preserve">InvSalesInvoice</w:t>
      </w:r>
      <w:r>
        <w:t xml:space="preserve">):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inventory_items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item_cd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item_cls_cd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),     </w:t>
      </w:r>
      <w:r>
        <w:rPr>
          <w:rStyle w:val="CommentTok"/>
        </w:rPr>
        <w:t xml:space="preserve">-- RRA item classification code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item_ty_cd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      </w:t>
      </w:r>
      <w:r>
        <w:rPr>
          <w:rStyle w:val="CommentTok"/>
        </w:rPr>
        <w:t xml:space="preserve">-- product type digit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pkg_unit_cd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     </w:t>
      </w:r>
      <w:r>
        <w:rPr>
          <w:rStyle w:val="CommentTok"/>
        </w:rPr>
        <w:t xml:space="preserve">-- packaging unit code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qty_unit_cd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);      </w:t>
      </w:r>
      <w:r>
        <w:rPr>
          <w:rStyle w:val="CommentTok"/>
        </w:rPr>
        <w:t xml:space="preserve">-- quantity unit code</w:t>
      </w:r>
    </w:p>
    <w:p>
      <w:pPr>
        <w:pStyle w:val="FirstParagraph"/>
      </w:pPr>
      <w:r>
        <w:rPr>
          <w:rStyle w:val="VerbatimChar"/>
        </w:rPr>
        <w:t xml:space="preserve">taxCategory</w:t>
      </w:r>
      <w:r>
        <w:t xml:space="preserve"> </w:t>
      </w:r>
      <w:r>
        <w:t xml:space="preserve">(A/B/C/D) already exists on</w:t>
      </w:r>
      <w:r>
        <w:t xml:space="preserve"> </w:t>
      </w:r>
      <w:r>
        <w:rPr>
          <w:rStyle w:val="VerbatimChar"/>
        </w:rPr>
        <w:t xml:space="preserve">InventoryItem</w:t>
      </w:r>
      <w:r>
        <w:t xml:space="preserve"> </w:t>
      </w:r>
      <w:r>
        <w:t xml:space="preserve">— reuse it directly for VAT category, no change needed.</w:t>
      </w:r>
    </w:p>
    <w:bookmarkEnd w:id="25"/>
    <w:bookmarkStart w:id="26" w:name="X071fe65b254ad8b771af776e1839295a14240df"/>
    <w:p>
      <w:pPr>
        <w:pStyle w:val="Heading3"/>
      </w:pPr>
      <w:r>
        <w:t xml:space="preserve">6.2 pos-mini (new SQLite migration,</w:t>
      </w:r>
      <w:r>
        <w:t xml:space="preserve"> </w:t>
      </w:r>
      <w:r>
        <w:rPr>
          <w:rStyle w:val="VerbatimChar"/>
        </w:rPr>
        <w:t xml:space="preserve">SCHEMA_VERSION = 5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pos-mini/src/db/schema.ts</w:t>
      </w:r>
      <w:r>
        <w:t xml:space="preserve">)</w:t>
      </w:r>
    </w:p>
    <w:p>
      <w:pPr>
        <w:pStyle w:val="FirstParagraph"/>
      </w:pPr>
      <w:r>
        <w:t xml:space="preserve">Mirrors the backend concept at a smaller scale: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products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item_cd TEXT;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products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item_cls_cd TEXT;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products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pkg_unit_cd TEXT;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products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qty_unit_cd TEXT;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ebm_device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mode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'VSDC'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tin TEXT, sdc_id TEXT, mrc_no TEXT,</w:t>
      </w:r>
      <w:r>
        <w:br/>
      </w:r>
      <w:r>
        <w:rPr>
          <w:rStyle w:val="NormalTok"/>
        </w:rPr>
        <w:t xml:space="preserve">  encrypted_signing_key TEXT,   </w:t>
      </w:r>
      <w:r>
        <w:rPr>
          <w:rStyle w:val="CommentTok"/>
        </w:rPr>
        <w:t xml:space="preserve">-- stored via expo-secure-store, not plain SQLite column (see §9)</w:t>
      </w:r>
      <w:r>
        <w:br/>
      </w:r>
      <w:r>
        <w:rPr>
          <w:rStyle w:val="NormalTok"/>
        </w:rPr>
        <w:t xml:space="preserve">  vsdc_endpoint_url TEXT,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'PENDING_INIT'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last_signature_at TEXT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ebm_sync_cursor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last_req_dt TEXT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ebm_outbox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sale_id TEXT,                 </w:t>
      </w:r>
      <w:r>
        <w:rPr>
          <w:rStyle w:val="CommentTok"/>
        </w:rPr>
        <w:t xml:space="preserve">-- references sales(id)</w:t>
      </w:r>
      <w:r>
        <w:br/>
      </w:r>
      <w:r>
        <w:rPr>
          <w:rStyle w:val="NormalTok"/>
        </w:rPr>
        <w:t xml:space="preserve">  phase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depends_on_id TEXT,</w:t>
      </w:r>
      <w:r>
        <w:br/>
      </w:r>
      <w:r>
        <w:rPr>
          <w:rStyle w:val="NormalTok"/>
        </w:rPr>
        <w:t xml:space="preserve">  payload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-- JSON blob</w:t>
      </w:r>
      <w:r>
        <w:br/>
      </w:r>
      <w:r>
        <w:rPr>
          <w:rStyle w:val="NormalTok"/>
        </w:rPr>
        <w:t xml:space="preserve">  response TEXT,</w:t>
      </w:r>
      <w:r>
        <w:br/>
      </w:r>
      <w:r>
        <w:rPr>
          <w:rStyle w:val="NormalTok"/>
        </w:rPr>
        <w:t xml:space="preserve">  attempts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last_error TEXT,</w:t>
      </w:r>
      <w:r>
        <w:br/>
      </w:r>
      <w:r>
        <w:rPr>
          <w:rStyle w:val="NormalTok"/>
        </w:rPr>
        <w:t xml:space="preserve">  created_at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submitted_at TEXT,</w:t>
      </w:r>
      <w:r>
        <w:br/>
      </w:r>
      <w:r>
        <w:rPr>
          <w:rStyle w:val="NormalTok"/>
        </w:rPr>
        <w:t xml:space="preserve">  acked_at TEXT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idx_ebm_outbox_pending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ebm_outbox(status);</w:t>
      </w:r>
    </w:p>
    <w:p>
      <w:pPr>
        <w:pStyle w:val="FirstParagraph"/>
      </w:pPr>
      <w:r>
        <w:rPr>
          <w:rStyle w:val="VerbatimChar"/>
        </w:rPr>
        <w:t xml:space="preserve">pos-mini</w:t>
      </w:r>
      <w:r>
        <w:t xml:space="preserve"> </w:t>
      </w:r>
      <w:r>
        <w:t xml:space="preserve">already has a</w:t>
      </w:r>
      <w:r>
        <w:t xml:space="preserve"> </w:t>
      </w:r>
      <w:r>
        <w:rPr>
          <w:rStyle w:val="VerbatimChar"/>
        </w:rPr>
        <w:t xml:space="preserve">number_sequences(prefix, last_number)</w:t>
      </w:r>
      <w:r>
        <w:t xml:space="preserve"> </w:t>
      </w:r>
      <w:r>
        <w:t xml:space="preserve">table used for invoice numbering — reuse the exact same mechanism for the</w:t>
      </w:r>
      <w:r>
        <w:t xml:space="preserve"> </w:t>
      </w:r>
      <w:r>
        <w:rPr>
          <w:rStyle w:val="VerbatimChar"/>
        </w:rPr>
        <w:t xml:space="preserve">itemCd</w:t>
      </w:r>
      <w:r>
        <w:t xml:space="preserve"> </w:t>
      </w:r>
      <w:r>
        <w:t xml:space="preserve">7-digit sequence (</w:t>
      </w:r>
      <w:r>
        <w:rPr>
          <w:rStyle w:val="VerbatimChar"/>
        </w:rPr>
        <w:t xml:space="preserve">prefix = 'ITEMCD'</w:t>
      </w:r>
      <w:r>
        <w:t xml:space="preserve">), no new counter concept needed.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itemcd-generation"/>
    <w:p>
      <w:pPr>
        <w:pStyle w:val="Heading2"/>
      </w:pPr>
      <w:r>
        <w:t xml:space="preserve">7.</w:t>
      </w:r>
      <w:r>
        <w:t xml:space="preserve"> </w:t>
      </w:r>
      <w:r>
        <w:rPr>
          <w:rStyle w:val="VerbatimChar"/>
        </w:rPr>
        <w:t xml:space="preserve">itemCd</w:t>
      </w:r>
      <w:r>
        <w:t xml:space="preserve"> </w:t>
      </w:r>
      <w:r>
        <w:t xml:space="preserve">generation</w:t>
      </w:r>
    </w:p>
    <w:p>
      <w:pPr>
        <w:pStyle w:val="FirstParagraph"/>
      </w:pPr>
      <w:r>
        <w:t xml:space="preserve">Single pure function, implemented identically in Java and TS per the contract:</w:t>
      </w:r>
    </w:p>
    <w:p>
      <w:pPr>
        <w:pStyle w:val="SourceCode"/>
      </w:pPr>
      <w:r>
        <w:rPr>
          <w:rStyle w:val="VerbatimChar"/>
        </w:rPr>
        <w:t xml:space="preserve">itemCd(countryCode: "RW", productTypeCd, pkgUnitCd, qtyUnitCd, seq: number) =</w:t>
      </w:r>
      <w:r>
        <w:br/>
      </w:r>
      <w:r>
        <w:rPr>
          <w:rStyle w:val="VerbatimChar"/>
        </w:rPr>
        <w:t xml:space="preserve">  countryCode + productTypeCd + pkgUnitCd + qtyUnitCd + pad(seq, 7)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seq</w:t>
      </w:r>
      <w:r>
        <w:t xml:space="preserve"> </w:t>
      </w:r>
      <w:r>
        <w:t xml:space="preserve">comes from the existing sequence mechanism (</w:t>
      </w:r>
      <w:r>
        <w:rPr>
          <w:rStyle w:val="VerbatimChar"/>
        </w:rPr>
        <w:t xml:space="preserve">number_sequences</w:t>
      </w:r>
      <w:r>
        <w:t xml:space="preserve"> </w:t>
      </w:r>
      <w:r>
        <w:t xml:space="preserve">in pos-mini; a</w:t>
      </w:r>
      <w:r>
        <w:t xml:space="preserve"> </w:t>
      </w:r>
      <w:r>
        <w:rPr>
          <w:rStyle w:val="VerbatimChar"/>
        </w:rPr>
        <w:t xml:space="preserve">SEQUENCE</w:t>
      </w:r>
      <w:r>
        <w:t xml:space="preserve">/counter row per device in Postgres) —</w:t>
      </w:r>
      <w:r>
        <w:t xml:space="preserve"> </w:t>
      </w:r>
      <w:r>
        <w:rPr>
          <w:bCs/>
          <w:b/>
        </w:rPr>
        <w:t xml:space="preserve">never</w:t>
      </w:r>
      <w:r>
        <w:t xml:space="preserve"> </w:t>
      </w:r>
      <w:r>
        <w:t xml:space="preserve">derived from row count or UUID, must be gap-free and monotonic per device as RRA requires.</w:t>
      </w:r>
    </w:p>
    <w:p>
      <w:pPr>
        <w:numPr>
          <w:ilvl w:val="0"/>
          <w:numId w:val="1002"/>
        </w:numPr>
        <w:pStyle w:val="Compact"/>
      </w:pPr>
      <w:r>
        <w:t xml:space="preserve">Classification codes (</w:t>
      </w:r>
      <w:r>
        <w:rPr>
          <w:rStyle w:val="VerbatimChar"/>
        </w:rPr>
        <w:t xml:space="preserve">productTypeCd</w:t>
      </w:r>
      <w:r>
        <w:t xml:space="preserve">,</w:t>
      </w:r>
      <w:r>
        <w:t xml:space="preserve"> </w:t>
      </w:r>
      <w:r>
        <w:rPr>
          <w:rStyle w:val="VerbatimChar"/>
        </w:rPr>
        <w:t xml:space="preserve">pkgUnitCd</w:t>
      </w:r>
      <w:r>
        <w:t xml:space="preserve">,</w:t>
      </w:r>
      <w:r>
        <w:t xml:space="preserve"> </w:t>
      </w:r>
      <w:r>
        <w:rPr>
          <w:rStyle w:val="VerbatimChar"/>
        </w:rPr>
        <w:t xml:space="preserve">qtyUnitCd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itemClsCd</w:t>
      </w:r>
      <w:r>
        <w:t xml:space="preserve">) come from RRA’s published code list, pulled via the Code List sync (rule 4) and cached locally —</w:t>
      </w:r>
      <w:r>
        <w:t xml:space="preserve"> </w:t>
      </w:r>
      <w:r>
        <w:rPr>
          <w:bCs/>
          <w:b/>
        </w:rPr>
        <w:t xml:space="preserve">[CONFIRM AGAINST OFFICIAL DOC]</w:t>
      </w:r>
      <w:r>
        <w:t xml:space="preserve"> </w:t>
      </w:r>
      <w:r>
        <w:t xml:space="preserve">for the exact code-list endpoint/table.</w:t>
      </w:r>
    </w:p>
    <w:p>
      <w:pPr>
        <w:numPr>
          <w:ilvl w:val="0"/>
          <w:numId w:val="1002"/>
        </w:numPr>
        <w:pStyle w:val="Compact"/>
      </w:pPr>
      <w:r>
        <w:t xml:space="preserve">Generation happens once, at item-creation time, and is immutable afterward (RRA items are not renumbered).</w:t>
      </w:r>
    </w:p>
    <w:p>
      <w:r>
        <w:pict>
          <v:rect style="width:0;height:1.5pt" o:hralign="center" o:hrstd="t" o:hr="t"/>
        </w:pict>
      </w:r>
    </w:p>
    <w:bookmarkEnd w:id="28"/>
    <w:bookmarkStart w:id="29" w:name="submission-pipeline-state-machine"/>
    <w:p>
      <w:pPr>
        <w:pStyle w:val="Heading2"/>
      </w:pPr>
      <w:r>
        <w:t xml:space="preserve">8. Submission pipeline (state machine)</w:t>
      </w:r>
    </w:p>
    <w:p>
      <w:pPr>
        <w:pStyle w:val="SourceCode"/>
      </w:pPr>
      <w:r>
        <w:rPr>
          <w:rStyle w:val="VerbatimChar"/>
        </w:rPr>
        <w:t xml:space="preserve">Sale completed (Invoice / DepotSale / InvSalesInvoice / FbOrder settle)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taxable_sale_event created (status PENDING)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ebm_outbox: phase=TRANSACTION  ──POST──▶  EBM device ──ACK──▶ status ACKED</w:t>
      </w:r>
      <w:r>
        <w:br/>
      </w:r>
      <w:r>
        <w:rPr>
          <w:rStyle w:val="VerbatimChar"/>
        </w:rPr>
        <w:t xml:space="preserve">        │ (only after TRANSACTION ACKED)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ebm_outbox: phase=INVOICE      ──POST──▶  EBM device ──ACK──▶ status ACKED, store receipt/signature/QR</w:t>
      </w:r>
      <w:r>
        <w:br/>
      </w:r>
      <w:r>
        <w:rPr>
          <w:rStyle w:val="VerbatimChar"/>
        </w:rPr>
        <w:t xml:space="preserve">        │ (only after INVOICE ACKED, and only if the sale moved stock)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ebm_outbox: phase=STOCK_IO     ──POST──▶  EBM device ──ACK──▶ status ACKED</w:t>
      </w:r>
      <w:r>
        <w:br/>
      </w:r>
      <w:r>
        <w:rPr>
          <w:rStyle w:val="VerbatimChar"/>
        </w:rPr>
        <w:t xml:space="preserve">        │ (only after STOCK_IO ACKED)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ebm_outbox: phase=STOCK_MASTER ──POST──▶  EBM device ──ACK──▶ status ACKED</w:t>
      </w:r>
    </w:p>
    <w:p>
      <w:pPr>
        <w:numPr>
          <w:ilvl w:val="0"/>
          <w:numId w:val="1003"/>
        </w:numPr>
        <w:pStyle w:val="Compact"/>
      </w:pPr>
      <w:r>
        <w:t xml:space="preserve">A background worker (</w:t>
      </w:r>
      <w:r>
        <w:rPr>
          <w:rStyle w:val="VerbatimChar"/>
        </w:rPr>
        <w:t xml:space="preserve">EbmOutboxProcessor</w:t>
      </w:r>
      <w:r>
        <w:t xml:space="preserve">, scheduled every N seconds) picks the oldest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/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row</w:t>
      </w:r>
      <w:r>
        <w:t xml:space="preserve"> </w:t>
      </w:r>
      <w:r>
        <w:rPr>
          <w:bCs/>
          <w:b/>
        </w:rPr>
        <w:t xml:space="preserve">per device</w:t>
      </w:r>
      <w:r>
        <w:t xml:space="preserve"> </w:t>
      </w:r>
      <w:r>
        <w:t xml:space="preserve">whose</w:t>
      </w:r>
      <w:r>
        <w:t xml:space="preserve"> </w:t>
      </w:r>
      <w:r>
        <w:rPr>
          <w:rStyle w:val="VerbatimChar"/>
        </w:rPr>
        <w:t xml:space="preserve">depends_on_id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ACKED</w:t>
      </w:r>
      <w:r>
        <w:t xml:space="preserve"> </w:t>
      </w:r>
      <w:r>
        <w:t xml:space="preserve">(or null), submits it, and advances state. This single ordering rule is what enforces requirements 1–3 without special-casing each phase.</w:t>
      </w:r>
    </w:p>
    <w:p>
      <w:pPr>
        <w:numPr>
          <w:ilvl w:val="0"/>
          <w:numId w:val="1003"/>
        </w:numPr>
        <w:pStyle w:val="Compact"/>
      </w:pPr>
      <w:r>
        <w:t xml:space="preserve">Failure handling: exponential backoff via</w:t>
      </w:r>
      <w:r>
        <w:t xml:space="preserve"> </w:t>
      </w:r>
      <w:r>
        <w:rPr>
          <w:rStyle w:val="VerbatimChar"/>
        </w:rPr>
        <w:t xml:space="preserve">attempts</w:t>
      </w:r>
      <w:r>
        <w:t xml:space="preserve">; error 922 specifically means</w:t>
      </w:r>
      <w:r>
        <w:t xml:space="preserve"> </w:t>
      </w:r>
      <w:r>
        <w:t xml:space="preserve">“</w:t>
      </w:r>
      <w:r>
        <w:t xml:space="preserve">transaction not found</w:t>
      </w:r>
      <w:r>
        <w:t xml:space="preserve">”</w:t>
      </w:r>
      <w:r>
        <w:t xml:space="preserve"> </w:t>
      </w:r>
      <w:r>
        <w:t xml:space="preserve">— treat as a bug (out-of-order submission), alert immediately rather than silently retrying, since retrying an out-of-order call will never succeed.</w:t>
      </w:r>
    </w:p>
    <w:p>
      <w:pPr>
        <w:numPr>
          <w:ilvl w:val="0"/>
          <w:numId w:val="1003"/>
        </w:numPr>
        <w:pStyle w:val="Compact"/>
      </w:pPr>
      <w:r>
        <w:t xml:space="preserve">On the customer-facing side, checkout/receipt printing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block on EBM ACK — it prints immediately and reconciles the RRA receipt number/QR onto the stored invoice asynchronously once ACKED (matches how VSDC/OSDC systems are normally operated; blocking checkout on a government API is an availability risk).</w:t>
      </w:r>
    </w:p>
    <w:p>
      <w:r>
        <w:pict>
          <v:rect style="width:0;height:1.5pt" o:hralign="center" o:hrstd="t" o:hr="t"/>
        </w:pict>
      </w:r>
    </w:p>
    <w:bookmarkEnd w:id="29"/>
    <w:bookmarkStart w:id="30" w:name="security-device-key-storage-rule-7"/>
    <w:p>
      <w:pPr>
        <w:pStyle w:val="Heading2"/>
      </w:pPr>
      <w:r>
        <w:t xml:space="preserve">9. Security: device key storage (rule 7)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Channel</w:t>
            </w:r>
          </w:p>
        </w:tc>
        <w:tc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ebm_device.encrypted_signing_key</w:t>
            </w:r>
            <w:r>
              <w:t xml:space="preserve"> </w:t>
            </w:r>
            <w:r>
              <w:t xml:space="preserve">(BYTEA), encrypted with a KMS/envelope key from app config (never the DB itself)</w:t>
            </w:r>
          </w:p>
        </w:tc>
        <w:tc>
          <w:p>
            <w:pPr>
              <w:pStyle w:val="Compact"/>
              <w:jc w:val="left"/>
            </w:pPr>
            <w:r>
              <w:t xml:space="preserve">Same pattern as any other secret in</w:t>
            </w:r>
            <w:r>
              <w:t xml:space="preserve"> </w:t>
            </w:r>
            <w:r>
              <w:rPr>
                <w:rStyle w:val="VerbatimChar"/>
              </w:rPr>
              <w:t xml:space="preserve">application.properties</w:t>
            </w:r>
            <w:r>
              <w:t xml:space="preserve">/secret manager already used for Stripe keys (</w:t>
            </w:r>
            <w:r>
              <w:rPr>
                <w:rStyle w:val="VerbatimChar"/>
              </w:rPr>
              <w:t xml:space="preserve">HmsStripeProperties</w:t>
            </w:r>
            <w:r>
              <w:t xml:space="preserve">) — follow that existing convention.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pos-mini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expo-secure-store</w:t>
            </w:r>
            <w:r>
              <w:t xml:space="preserve"> </w:t>
            </w:r>
            <w:r>
              <w:t xml:space="preserve">(already a dependency) for the raw key material; SQLite only stores non-secret metadata (</w:t>
            </w:r>
            <w:r>
              <w:rPr>
                <w:rStyle w:val="VerbatimChar"/>
              </w:rPr>
              <w:t xml:space="preserve">sdc_id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mrc_no</w:t>
            </w:r>
            <w:r>
              <w:t xml:space="preserve">, status)</w:t>
            </w:r>
          </w:p>
        </w:tc>
        <w:tc>
          <w:p>
            <w:pPr>
              <w:pStyle w:val="Compact"/>
              <w:jc w:val="left"/>
            </w:pPr>
            <w:r>
              <w:t xml:space="preserve">Never put the signing key in a plain SQLite column —</w:t>
            </w:r>
            <w:r>
              <w:t xml:space="preserve"> </w:t>
            </w:r>
            <w:r>
              <w:rPr>
                <w:rStyle w:val="VerbatimChar"/>
              </w:rPr>
              <w:t xml:space="preserve">expo-secure-store</w:t>
            </w:r>
            <w:r>
              <w:t xml:space="preserve"> </w:t>
            </w:r>
            <w:r>
              <w:t xml:space="preserve">uses Keychain/Keystore.</w:t>
            </w:r>
          </w:p>
        </w:tc>
      </w:tr>
    </w:tbl>
    <w:p>
      <w:pPr>
        <w:pStyle w:val="BodyText"/>
      </w:pPr>
      <w:r>
        <w:t xml:space="preserve">Initialization is a one-time flow per device: operator enters TIN (+ branch, for VSDC the WAR endpoint URL) → app calls Initialization → persists</w:t>
      </w:r>
      <w:r>
        <w:t xml:space="preserve"> </w:t>
      </w:r>
      <w:r>
        <w:rPr>
          <w:rStyle w:val="VerbatimChar"/>
        </w:rPr>
        <w:t xml:space="preserve">sdc_id</w:t>
      </w:r>
      <w:r>
        <w:t xml:space="preserve">/</w:t>
      </w:r>
      <w:r>
        <w:rPr>
          <w:rStyle w:val="VerbatimChar"/>
        </w:rPr>
        <w:t xml:space="preserve">mrc_no</w:t>
      </w:r>
      <w:r>
        <w:t xml:space="preserve">/keys → device status flips</w:t>
      </w:r>
      <w:r>
        <w:t xml:space="preserve"> </w:t>
      </w:r>
      <w:r>
        <w:rPr>
          <w:rStyle w:val="VerbatimChar"/>
        </w:rPr>
        <w:t xml:space="preserve">PENDING_INIT → ACTIVE</w:t>
      </w:r>
      <w:r>
        <w:t xml:space="preserve">. Re-running Initialization on an already-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device should be blocked in the UI (RRA treats re-init as provisioning a device, not a routine op).</w:t>
      </w:r>
    </w:p>
    <w:p>
      <w:r>
        <w:pict>
          <v:rect style="width:0;height:1.5pt" o:hralign="center" o:hrstd="t" o:hr="t"/>
        </w:pict>
      </w:r>
    </w:p>
    <w:bookmarkEnd w:id="30"/>
    <w:bookmarkStart w:id="31" w:name="offline-the-24-hour-rule-rule-5"/>
    <w:p>
      <w:pPr>
        <w:pStyle w:val="Heading2"/>
      </w:pPr>
      <w:r>
        <w:t xml:space="preserve">10. Offline &amp; the 24-hour rule (rule 5)</w:t>
      </w:r>
    </w:p>
    <w:p>
      <w:pPr>
        <w:numPr>
          <w:ilvl w:val="0"/>
          <w:numId w:val="1004"/>
        </w:numPr>
        <w:pStyle w:val="Compact"/>
      </w:pPr>
      <w:r>
        <w:t xml:space="preserve">Track</w:t>
      </w:r>
      <w:r>
        <w:t xml:space="preserve"> </w:t>
      </w:r>
      <w:r>
        <w:rPr>
          <w:rStyle w:val="VerbatimChar"/>
        </w:rPr>
        <w:t xml:space="preserve">ebm_device.last_signature_at</w:t>
      </w:r>
      <w:r>
        <w:t xml:space="preserve">, updated every time an</w:t>
      </w:r>
      <w:r>
        <w:t xml:space="preserve"> </w:t>
      </w:r>
      <w:r>
        <w:rPr>
          <w:rStyle w:val="VerbatimChar"/>
        </w:rPr>
        <w:t xml:space="preserve">INVOICE</w:t>
      </w:r>
      <w:r>
        <w:t xml:space="preserve"> </w:t>
      </w:r>
      <w:r>
        <w:t xml:space="preserve">phase gets ACKED with a signature.</w:t>
      </w:r>
    </w:p>
    <w:p>
      <w:pPr>
        <w:numPr>
          <w:ilvl w:val="0"/>
          <w:numId w:val="1004"/>
        </w:numPr>
        <w:pStyle w:val="Compact"/>
      </w:pPr>
      <w:r>
        <w:t xml:space="preserve">Background health check computes</w:t>
      </w:r>
      <w:r>
        <w:t xml:space="preserve"> </w:t>
      </w:r>
      <w:r>
        <w:rPr>
          <w:rStyle w:val="VerbatimChar"/>
        </w:rPr>
        <w:t xml:space="preserve">now() - last_signature_at</w:t>
      </w:r>
      <w:r>
        <w:t xml:space="preserve">; surface a warning banner/notification starting at, say, 18h, and a hard alert at 22h — before the 24h cutoff that stops receipt numbering entirely.</w:t>
      </w:r>
    </w:p>
    <w:p>
      <w:pPr>
        <w:numPr>
          <w:ilvl w:val="0"/>
          <w:numId w:val="1004"/>
        </w:numPr>
        <w:pStyle w:val="Compact"/>
      </w:pPr>
      <w:r>
        <w:t xml:space="preserve">The outbox itself already tolerates arbitrary offline duration (rows just stay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); the 24h rule is a</w:t>
      </w:r>
      <w:r>
        <w:t xml:space="preserve"> </w:t>
      </w:r>
      <w:r>
        <w:rPr>
          <w:bCs/>
          <w:b/>
        </w:rPr>
        <w:t xml:space="preserve">business/ops</w:t>
      </w:r>
      <w:r>
        <w:t xml:space="preserve"> </w:t>
      </w:r>
      <w:r>
        <w:t xml:space="preserve">constraint (RRA stops issuing receipts, not a software bug), so the software’s job is early warning + a clear operator runbook (</w:t>
      </w:r>
      <w:r>
        <w:t xml:space="preserve">“</w:t>
      </w:r>
      <w:r>
        <w:t xml:space="preserve">restore connectivity to the WAR service / internet within 24h of the last printed receipt</w:t>
      </w:r>
      <w:r>
        <w:t xml:space="preserve">”</w:t>
      </w:r>
      <w:r>
        <w:t xml:space="preserve">), not a code workaround.</w:t>
      </w:r>
    </w:p>
    <w:p>
      <w:pPr>
        <w:numPr>
          <w:ilvl w:val="0"/>
          <w:numId w:val="1004"/>
        </w:numPr>
        <w:pStyle w:val="Compact"/>
      </w:pPr>
      <w:r>
        <w:t xml:space="preserve">For VSDC deployments specifically, recommend redundant network paths to the WAR service (e.g., LAN + LTE failover) — an infra recommendation, not something the app can solve alone.</w:t>
      </w:r>
    </w:p>
    <w:p>
      <w:r>
        <w:pict>
          <v:rect style="width:0;height:1.5pt" o:hralign="center" o:hrstd="t" o:hr="t"/>
        </w:pict>
      </w:r>
    </w:p>
    <w:bookmarkEnd w:id="31"/>
    <w:bookmarkStart w:id="32" w:name="delta-sync-rule-4"/>
    <w:p>
      <w:pPr>
        <w:pStyle w:val="Heading2"/>
      </w:pPr>
      <w:r>
        <w:t xml:space="preserve">11. Delta sync (rule 4)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EbmSyncJob</w:t>
      </w:r>
      <w:r>
        <w:t xml:space="preserve"> </w:t>
      </w:r>
      <w:r>
        <w:t xml:space="preserve">runs per category (</w:t>
      </w:r>
      <w:r>
        <w:rPr>
          <w:rStyle w:val="VerbatimChar"/>
        </w:rPr>
        <w:t xml:space="preserve">CODE_LIST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ITEM_CLASS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NOTICES</w:t>
      </w:r>
      <w:r>
        <w:t xml:space="preserve">, etc.) on a schedule.</w:t>
      </w:r>
    </w:p>
    <w:p>
      <w:pPr>
        <w:numPr>
          <w:ilvl w:val="0"/>
          <w:numId w:val="1005"/>
        </w:numPr>
        <w:pStyle w:val="Compact"/>
      </w:pPr>
      <w:r>
        <w:t xml:space="preserve">Each run: read</w:t>
      </w:r>
      <w:r>
        <w:t xml:space="preserve"> </w:t>
      </w:r>
      <w:r>
        <w:rPr>
          <w:rStyle w:val="VerbatimChar"/>
        </w:rPr>
        <w:t xml:space="preserve">ebm_sync_cursor.last_req_dt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(device, category)</w:t>
      </w:r>
      <w:r>
        <w:t xml:space="preserve"> </w:t>
      </w:r>
      <w:r>
        <w:t xml:space="preserve">→ call the pull endpoint with that value → on success, upsert the returned rows and set</w:t>
      </w:r>
      <w:r>
        <w:t xml:space="preserve"> </w:t>
      </w:r>
      <w:r>
        <w:rPr>
          <w:rStyle w:val="VerbatimChar"/>
        </w:rPr>
        <w:t xml:space="preserve">last_req_dt = response.currentDate</w:t>
      </w:r>
      <w:r>
        <w:t xml:space="preserve"> </w:t>
      </w:r>
      <w:r>
        <w:t xml:space="preserve">(or the max timestamp in the response —</w:t>
      </w:r>
      <w:r>
        <w:t xml:space="preserve"> </w:t>
      </w:r>
      <w:r>
        <w:rPr>
          <w:bCs/>
          <w:b/>
        </w:rPr>
        <w:t xml:space="preserve">[CONFIRM AGAINST OFFICIAL DOC]</w:t>
      </w:r>
      <w:r>
        <w:t xml:space="preserve"> </w:t>
      </w:r>
      <w:r>
        <w:t xml:space="preserve">which field RRA returns for this) inside the same DB transaction as the upsert, so a crash mid-sync can’t skip or duplicate a window.</w:t>
      </w:r>
    </w:p>
    <w:p>
      <w:r>
        <w:pict>
          <v:rect style="width:0;height:1.5pt" o:hralign="center" o:hrstd="t" o:hr="t"/>
        </w:pict>
      </w:r>
    </w:p>
    <w:bookmarkEnd w:id="32"/>
    <w:bookmarkStart w:id="33" w:name="phased-implementation-plan"/>
    <w:p>
      <w:pPr>
        <w:pStyle w:val="Heading2"/>
      </w:pPr>
      <w:r>
        <w:t xml:space="preserve">12. Phased implementation plan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c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p>
            <w:pPr>
              <w:pStyle w:val="Compact"/>
              <w:jc w:val="left"/>
            </w:pPr>
            <w:r>
              <w:t xml:space="preserve">Depends on</w:t>
            </w:r>
          </w:p>
        </w:tc>
        <w:tc>
          <w:p>
            <w:pPr>
              <w:pStyle w:val="Compact"/>
              <w:jc w:val="left"/>
            </w:pPr>
            <w:r>
              <w:t xml:space="preserve">Acceptance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 Confirm spec</w:t>
            </w:r>
          </w:p>
        </w:tc>
        <w:tc>
          <w:p>
            <w:pPr>
              <w:pStyle w:val="Compact"/>
              <w:jc w:val="left"/>
            </w:pPr>
            <w:r>
              <w:t xml:space="preserve">Obtain RRA’s official EBM 2.1 CIS integration guide (endpoint paths, exact payload fields, error codes) and the code-list values for item/packaging/qty-unit classification. Confirm VSDC vs OSDC per hotel.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Doc checked into</w:t>
            </w:r>
            <w:r>
              <w:t xml:space="preserve"> </w:t>
            </w:r>
            <w:r>
              <w:rPr>
                <w:rStyle w:val="VerbatimChar"/>
              </w:rPr>
              <w:t xml:space="preserve">docs/ebm/official/</w:t>
            </w:r>
            <w:r>
              <w:t xml:space="preserve"> </w:t>
            </w:r>
            <w:r>
              <w:t xml:space="preserve">(or linked); all</w:t>
            </w:r>
            <w:r>
              <w:t xml:space="preserve"> </w:t>
            </w:r>
            <w:r>
              <w:rPr>
                <w:rStyle w:val="VerbatimChar"/>
              </w:rPr>
              <w:t xml:space="preserve">[CONFIRM AGAINST OFFICIAL DOC]</w:t>
            </w:r>
            <w:r>
              <w:t xml:space="preserve"> </w:t>
            </w:r>
            <w:r>
              <w:t xml:space="preserve">markers in this file resolved.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 Backend: device registration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ebm_device</w:t>
            </w:r>
            <w:r>
              <w:t xml:space="preserve"> </w:t>
            </w:r>
            <w:r>
              <w:t xml:space="preserve">table + Initialization flow + encrypted key storage + admin UI (hotel settings) to run it.</w:t>
            </w:r>
          </w:p>
        </w:tc>
        <w:tc>
          <w:p>
            <w:pPr>
              <w:pStyle w:val="Compact"/>
              <w:jc w:val="left"/>
            </w:pPr>
            <w:r>
              <w:t xml:space="preserve">Phase 0</w:t>
            </w:r>
          </w:p>
        </w:tc>
        <w:tc>
          <w:p>
            <w:pPr>
              <w:pStyle w:val="Compact"/>
              <w:jc w:val="left"/>
            </w:pPr>
            <w:r>
              <w:t xml:space="preserve">Can Initialize a test device against RRA’s sandbox and see</w:t>
            </w:r>
            <w:r>
              <w:t xml:space="preserve"> </w:t>
            </w:r>
            <w:r>
              <w:rPr>
                <w:rStyle w:val="VerbatimChar"/>
              </w:rPr>
              <w:t xml:space="preserve">status=ACTIVE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 Backend: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itemCd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+ classification</w:t>
            </w:r>
          </w:p>
        </w:tc>
        <w:tc>
          <w:p>
            <w:pPr>
              <w:pStyle w:val="Compact"/>
              <w:jc w:val="left"/>
            </w:pPr>
            <w:r>
              <w:t xml:space="preserve">Migration on</w:t>
            </w:r>
            <w:r>
              <w:t xml:space="preserve"> </w:t>
            </w:r>
            <w:r>
              <w:rPr>
                <w:rStyle w:val="VerbatimChar"/>
              </w:rPr>
              <w:t xml:space="preserve">InventoryItem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Inv*</w:t>
            </w:r>
            <w:r>
              <w:t xml:space="preserve"> </w:t>
            </w:r>
            <w:r>
              <w:t xml:space="preserve">item entity); code-list sync job;</w:t>
            </w:r>
            <w:r>
              <w:t xml:space="preserve"> </w:t>
            </w:r>
            <w:r>
              <w:rPr>
                <w:rStyle w:val="VerbatimChar"/>
              </w:rPr>
              <w:t xml:space="preserve">itemCd</w:t>
            </w:r>
            <w:r>
              <w:t xml:space="preserve"> </w:t>
            </w:r>
            <w:r>
              <w:t xml:space="preserve">generator; admin UI to assign classification per item.</w:t>
            </w:r>
          </w:p>
        </w:tc>
        <w:tc>
          <w:p>
            <w:pPr>
              <w:pStyle w:val="Compact"/>
              <w:jc w:val="left"/>
            </w:pPr>
            <w:r>
              <w:t xml:space="preserve">Phase 1</w:t>
            </w:r>
          </w:p>
        </w:tc>
        <w:tc>
          <w:p>
            <w:pPr>
              <w:pStyle w:val="Compact"/>
              <w:jc w:val="left"/>
            </w:pPr>
            <w:r>
              <w:t xml:space="preserve">New item gets a valid, unique</w:t>
            </w:r>
            <w:r>
              <w:t xml:space="preserve"> </w:t>
            </w:r>
            <w:r>
              <w:rPr>
                <w:rStyle w:val="VerbatimChar"/>
              </w:rPr>
              <w:t xml:space="preserve">itemCd</w:t>
            </w:r>
            <w:r>
              <w:t xml:space="preserve">; existing items backfilled in a batch job.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 Backend: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TaxableSaleEvent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+ outbox skeleton</w:t>
            </w:r>
          </w:p>
        </w:tc>
        <w:tc>
          <w:p>
            <w:pPr>
              <w:pStyle w:val="Compact"/>
              <w:jc w:val="left"/>
            </w:pPr>
            <w:r>
              <w:t xml:space="preserve">New tables from §6.1; hook</w:t>
            </w:r>
            <w:r>
              <w:t xml:space="preserve"> </w:t>
            </w:r>
            <w:r>
              <w:rPr>
                <w:rStyle w:val="VerbatimChar"/>
              </w:rPr>
              <w:t xml:space="preserve">Invoice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DepotSale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InvSalesInvoice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FbOrder</w:t>
            </w:r>
            <w:r>
              <w:t xml:space="preserve"> </w:t>
            </w:r>
            <w:r>
              <w:t xml:space="preserve">settlement to emit a</w:t>
            </w:r>
            <w:r>
              <w:t xml:space="preserve"> </w:t>
            </w:r>
            <w:r>
              <w:rPr>
                <w:rStyle w:val="VerbatimChar"/>
              </w:rPr>
              <w:t xml:space="preserve">TaxableSaleEvent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Phase 2</w:t>
            </w:r>
          </w:p>
        </w:tc>
        <w:tc>
          <w:p>
            <w:pPr>
              <w:pStyle w:val="Compact"/>
              <w:jc w:val="left"/>
            </w:pPr>
            <w:r>
              <w:t xml:space="preserve">Every completed sale produces exactly one</w:t>
            </w:r>
            <w:r>
              <w:t xml:space="preserve"> </w:t>
            </w:r>
            <w:r>
              <w:rPr>
                <w:rStyle w:val="VerbatimChar"/>
              </w:rPr>
              <w:t xml:space="preserve">taxable_sale_event</w:t>
            </w:r>
            <w:r>
              <w:t xml:space="preserve"> </w:t>
            </w:r>
            <w:r>
              <w:t xml:space="preserve">row, verified across all four source types.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 Backend: submission pipeline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EbmOutboxProcessor</w:t>
            </w:r>
            <w:r>
              <w:t xml:space="preserve"> </w:t>
            </w:r>
            <w:r>
              <w:t xml:space="preserve">implementing the TRANSACTION → INVOICE → STOCK_IO → STOCK_MASTER chain; retry/backoff; error-922 alerting.</w:t>
            </w:r>
          </w:p>
        </w:tc>
        <w:tc>
          <w:p>
            <w:pPr>
              <w:pStyle w:val="Compact"/>
              <w:jc w:val="left"/>
            </w:pPr>
            <w:r>
              <w:t xml:space="preserve">Phase 3</w:t>
            </w:r>
          </w:p>
        </w:tc>
        <w:tc>
          <w:p>
            <w:pPr>
              <w:pStyle w:val="Compact"/>
              <w:jc w:val="left"/>
            </w:pPr>
            <w:r>
              <w:t xml:space="preserve">A sandbox sale round-trips end-to-end with receipt number/signature stored back on the invoice/receipt print-out.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 Backend: delta sync + 24h monitor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EbmSyncJob</w:t>
            </w:r>
            <w:r>
              <w:t xml:space="preserve"> </w:t>
            </w:r>
            <w:r>
              <w:t xml:space="preserve">per category;</w:t>
            </w:r>
            <w:r>
              <w:t xml:space="preserve"> </w:t>
            </w:r>
            <w:r>
              <w:rPr>
                <w:rStyle w:val="VerbatimChar"/>
              </w:rPr>
              <w:t xml:space="preserve">last_signature_at</w:t>
            </w:r>
            <w:r>
              <w:t xml:space="preserve"> </w:t>
            </w:r>
            <w:r>
              <w:t xml:space="preserve">health check + alerting.</w:t>
            </w:r>
          </w:p>
        </w:tc>
        <w:tc>
          <w:p>
            <w:pPr>
              <w:pStyle w:val="Compact"/>
              <w:jc w:val="left"/>
            </w:pPr>
            <w:r>
              <w:t xml:space="preserve">Phase 4</w:t>
            </w:r>
          </w:p>
        </w:tc>
        <w:tc>
          <w:p>
            <w:pPr>
              <w:pStyle w:val="Compact"/>
              <w:jc w:val="left"/>
            </w:pPr>
            <w:r>
              <w:t xml:space="preserve">Cursor advances correctly across restarts; alert fires in a simulated 18h/22h offline test.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6. pos-mini: mirror phases 1–5 in 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src/db</w:t>
            </w:r>
            <w:r>
              <w:t xml:space="preserve"> </w:t>
            </w:r>
            <w:r>
              <w:t xml:space="preserve">migration v5,</w:t>
            </w:r>
            <w:r>
              <w:t xml:space="preserve"> </w:t>
            </w:r>
            <w:r>
              <w:rPr>
                <w:rStyle w:val="VerbatimChar"/>
              </w:rPr>
              <w:t xml:space="preserve">src/ebm/</w:t>
            </w:r>
            <w:r>
              <w:t xml:space="preserve"> </w:t>
            </w:r>
            <w:r>
              <w:t xml:space="preserve">module (device init,</w:t>
            </w:r>
            <w:r>
              <w:t xml:space="preserve"> </w:t>
            </w:r>
            <w:r>
              <w:rPr>
                <w:rStyle w:val="VerbatimChar"/>
              </w:rPr>
              <w:t xml:space="preserve">itemCd</w:t>
            </w:r>
            <w:r>
              <w:t xml:space="preserve">, outbox, sync), settings screen for Initialization.</w:t>
            </w:r>
          </w:p>
        </w:tc>
        <w:tc>
          <w:p>
            <w:pPr>
              <w:pStyle w:val="Compact"/>
              <w:jc w:val="left"/>
            </w:pPr>
            <w:r>
              <w:t xml:space="preserve">Phase 0 (contract), independent of backend phases otherwise</w:t>
            </w:r>
          </w:p>
        </w:tc>
        <w:tc>
          <w:p>
            <w:pPr>
              <w:pStyle w:val="Compact"/>
              <w:jc w:val="left"/>
            </w:pPr>
            <w:r>
              <w:t xml:space="preserve">Same acceptance criteria as phases 1–5, run standalone against sandbox with no backend involved.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7. Reporting/audit</w:t>
            </w:r>
          </w:p>
        </w:tc>
        <w:tc>
          <w:p>
            <w:pPr>
              <w:pStyle w:val="Compact"/>
              <w:jc w:val="left"/>
            </w:pPr>
            <w:r>
              <w:t xml:space="preserve">Admin screen(s) showing outbox health, failed submissions, last sync per category, per-device status — both frontend (</w:t>
            </w:r>
            <w:r>
              <w:rPr>
                <w:rStyle w:val="VerbatimChar"/>
              </w:rPr>
              <w:t xml:space="preserve">hotels/[hotelId]</w:t>
            </w:r>
            <w:r>
              <w:t xml:space="preserve">) and pos-mini settings.</w:t>
            </w:r>
          </w:p>
        </w:tc>
        <w:tc>
          <w:p>
            <w:pPr>
              <w:pStyle w:val="Compact"/>
              <w:jc w:val="left"/>
            </w:pPr>
            <w:r>
              <w:t xml:space="preserve">Phases 4–6</w:t>
            </w:r>
          </w:p>
        </w:tc>
        <w:tc>
          <w:p>
            <w:pPr>
              <w:pStyle w:val="Compact"/>
              <w:jc w:val="left"/>
            </w:pPr>
            <w:r>
              <w:t xml:space="preserve">Ops can see and manually retry a stuck submission without touching the DB.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mobile-pos</w:t>
      </w:r>
      <w:r>
        <w:t xml:space="preserve"> </w:t>
      </w:r>
      <w:r>
        <w:t xml:space="preserve">requires no dedicated phase — it is covered automatically once backend phase 4 is live, since all its sales already land in</w:t>
      </w:r>
      <w:r>
        <w:t xml:space="preserve"> </w:t>
      </w:r>
      <w:r>
        <w:rPr>
          <w:rStyle w:val="VerbatimChar"/>
        </w:rPr>
        <w:t xml:space="preserve">DepotSale</w:t>
      </w:r>
      <w:r>
        <w:t xml:space="preserve">/</w:t>
      </w:r>
      <w:r>
        <w:rPr>
          <w:rStyle w:val="VerbatimChar"/>
        </w:rPr>
        <w:t xml:space="preserve">Invoice</w:t>
      </w:r>
      <w:r>
        <w:t xml:space="preserve">/</w:t>
      </w:r>
      <w:r>
        <w:rPr>
          <w:rStyle w:val="VerbatimChar"/>
        </w:rPr>
        <w:t xml:space="preserve">FbOrder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X6317b0d585257b0f2aa3ad6c2c537fc9c26355b"/>
    <w:p>
      <w:pPr>
        <w:pStyle w:val="Heading2"/>
      </w:pPr>
      <w:r>
        <w:t xml:space="preserve">13. Open questions to resolve before coding (Phase 0)</w:t>
      </w:r>
    </w:p>
    <w:p>
      <w:pPr>
        <w:numPr>
          <w:ilvl w:val="0"/>
          <w:numId w:val="1006"/>
        </w:numPr>
        <w:pStyle w:val="Compact"/>
      </w:pPr>
      <w:r>
        <w:t xml:space="preserve">Exact REST paths and payload field names for Initialization, Sales Transaction, Sales Invoice, Stock I/O, Stock Master, and each Code List category.</w:t>
      </w:r>
    </w:p>
    <w:p>
      <w:pPr>
        <w:numPr>
          <w:ilvl w:val="0"/>
          <w:numId w:val="1006"/>
        </w:numPr>
        <w:pStyle w:val="Compact"/>
      </w:pPr>
      <w:r>
        <w:t xml:space="preserve">Exact response field RRA uses for the sync cursor (is it</w:t>
      </w:r>
      <w:r>
        <w:t xml:space="preserve"> </w:t>
      </w:r>
      <w:r>
        <w:rPr>
          <w:rStyle w:val="VerbatimChar"/>
        </w:rPr>
        <w:t xml:space="preserve">resultDt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currentDate</w:t>
      </w:r>
      <w:r>
        <w:t xml:space="preserve">, or per-record</w:t>
      </w:r>
      <w:r>
        <w:t xml:space="preserve"> </w:t>
      </w:r>
      <w:r>
        <w:rPr>
          <w:rStyle w:val="VerbatimChar"/>
        </w:rPr>
        <w:t xml:space="preserve">sdcDt</w:t>
      </w:r>
      <w:r>
        <w:t xml:space="preserve">?).</w:t>
      </w:r>
    </w:p>
    <w:p>
      <w:pPr>
        <w:numPr>
          <w:ilvl w:val="0"/>
          <w:numId w:val="1006"/>
        </w:numPr>
        <w:pStyle w:val="Compact"/>
      </w:pPr>
      <w:r>
        <w:t xml:space="preserve">Full RRA classification code tables (</w:t>
      </w:r>
      <w:r>
        <w:rPr>
          <w:rStyle w:val="VerbatimChar"/>
        </w:rPr>
        <w:t xml:space="preserve">itemClsCd</w:t>
      </w:r>
      <w:r>
        <w:t xml:space="preserve">,</w:t>
      </w:r>
      <w:r>
        <w:t xml:space="preserve"> </w:t>
      </w:r>
      <w:r>
        <w:rPr>
          <w:rStyle w:val="VerbatimChar"/>
        </w:rPr>
        <w:t xml:space="preserve">pkgUnitCd</w:t>
      </w:r>
      <w:r>
        <w:t xml:space="preserve">,</w:t>
      </w:r>
      <w:r>
        <w:t xml:space="preserve"> </w:t>
      </w:r>
      <w:r>
        <w:rPr>
          <w:rStyle w:val="VerbatimChar"/>
        </w:rPr>
        <w:t xml:space="preserve">qtyUnitCd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productTypeCd</w:t>
      </w:r>
      <w:r>
        <w:t xml:space="preserve"> </w:t>
      </w:r>
      <w:r>
        <w:t xml:space="preserve">values) — needed to build the</w:t>
      </w:r>
      <w:r>
        <w:t xml:space="preserve"> </w:t>
      </w:r>
      <w:r>
        <w:rPr>
          <w:rStyle w:val="VerbatimChar"/>
        </w:rPr>
        <w:t xml:space="preserve">itemCd</w:t>
      </w:r>
      <w:r>
        <w:t xml:space="preserve"> </w:t>
      </w:r>
      <w:r>
        <w:t xml:space="preserve">generator and item classification UI.</w:t>
      </w:r>
    </w:p>
    <w:p>
      <w:pPr>
        <w:numPr>
          <w:ilvl w:val="0"/>
          <w:numId w:val="1006"/>
        </w:numPr>
        <w:pStyle w:val="Compact"/>
      </w:pPr>
      <w:r>
        <w:t xml:space="preserve">Per-hotel decision: VSDC (local WAR, needs a deployed service + LAN redundancy) vs OSDC (cloud, needs permanent internet) — this determines</w:t>
      </w:r>
      <w:r>
        <w:t xml:space="preserve"> </w:t>
      </w:r>
      <w:r>
        <w:rPr>
          <w:rStyle w:val="VerbatimChar"/>
        </w:rPr>
        <w:t xml:space="preserve">ebm_device.mode</w:t>
      </w:r>
      <w:r>
        <w:t xml:space="preserve"> </w:t>
      </w:r>
      <w:r>
        <w:t xml:space="preserve">and infra work outside this app.</w:t>
      </w:r>
    </w:p>
    <w:p>
      <w:pPr>
        <w:numPr>
          <w:ilvl w:val="0"/>
          <w:numId w:val="1006"/>
        </w:numPr>
        <w:pStyle w:val="Compact"/>
      </w:pPr>
      <w:r>
        <w:t xml:space="preserve">Whether receipts/QR codes must be reprinted on paper (thermal printer format) — affects</w:t>
      </w:r>
      <w:r>
        <w:t xml:space="preserve"> </w:t>
      </w:r>
      <w:r>
        <w:rPr>
          <w:rStyle w:val="VerbatimChar"/>
        </w:rPr>
        <w:t xml:space="preserve">InvoicePdfService</w:t>
      </w:r>
      <w:r>
        <w:t xml:space="preserve">/</w:t>
      </w:r>
      <w:r>
        <w:rPr>
          <w:rStyle w:val="VerbatimChar"/>
        </w:rPr>
        <w:t xml:space="preserve">taxInvoiceHtml.ts</w:t>
      </w:r>
      <w:r>
        <w:t xml:space="preserve"> </w:t>
      </w:r>
      <w:r>
        <w:t xml:space="preserve">and pos-mini’s receipt printing (</w:t>
      </w:r>
      <w:r>
        <w:rPr>
          <w:rStyle w:val="VerbatimChar"/>
        </w:rPr>
        <w:t xml:space="preserve">react-native-thermal-receipt-printer-image-qr</w:t>
      </w:r>
      <w:r>
        <w:t xml:space="preserve"> </w:t>
      </w:r>
      <w:r>
        <w:t xml:space="preserve">is already an optional dependency in pos-mini, which is a good sign it’s anticipated).</w:t>
      </w:r>
    </w:p>
    <w:p>
      <w:pPr>
        <w:numPr>
          <w:ilvl w:val="0"/>
          <w:numId w:val="1006"/>
        </w:numPr>
        <w:pStyle w:val="Compact"/>
      </w:pPr>
      <w:r>
        <w:t xml:space="preserve">Sandbox/test credentials and RRA’s test environment availability for Phases 1–6 acceptance testing.</w:t>
      </w:r>
    </w:p>
    <w:p>
      <w:r>
        <w:pict>
          <v:rect style="width:0;height:1.5pt" o:hralign="center" o:hrstd="t" o:hr="t"/>
        </w:pict>
      </w:r>
    </w:p>
    <w:bookmarkEnd w:id="34"/>
    <w:bookmarkStart w:id="35" w:name="file-map-what-gets-created"/>
    <w:p>
      <w:pPr>
        <w:pStyle w:val="Heading2"/>
      </w:pPr>
      <w:r>
        <w:t xml:space="preserve">14. File map (what gets created)</w:t>
      </w:r>
    </w:p>
    <w:p>
      <w:pPr>
        <w:pStyle w:val="FirstParagraph"/>
      </w:pPr>
      <w:r>
        <w:rPr>
          <w:bCs/>
          <w:b/>
        </w:rPr>
        <w:t xml:space="preserve">Backend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backend/src/main/resources/db/migration/V70__ebm_integration.sql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backend/src/main/java/com/hms/entity/EbmDevice.java</w:t>
      </w:r>
      <w:r>
        <w:t xml:space="preserve">,</w:t>
      </w:r>
      <w:r>
        <w:t xml:space="preserve"> </w:t>
      </w:r>
      <w:r>
        <w:rPr>
          <w:rStyle w:val="VerbatimChar"/>
        </w:rPr>
        <w:t xml:space="preserve">EbmOutboxEntry.java</w:t>
      </w:r>
      <w:r>
        <w:t xml:space="preserve">,</w:t>
      </w:r>
      <w:r>
        <w:t xml:space="preserve"> </w:t>
      </w:r>
      <w:r>
        <w:rPr>
          <w:rStyle w:val="VerbatimChar"/>
        </w:rPr>
        <w:t xml:space="preserve">EbmSyncCursor.java</w:t>
      </w:r>
      <w:r>
        <w:t xml:space="preserve">,</w:t>
      </w:r>
      <w:r>
        <w:t xml:space="preserve"> </w:t>
      </w:r>
      <w:r>
        <w:rPr>
          <w:rStyle w:val="VerbatimChar"/>
        </w:rPr>
        <w:t xml:space="preserve">TaxableSaleEvent.java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backend/src/main/java/com/hms/ebm/EbmClient.java</w:t>
      </w:r>
      <w:r>
        <w:t xml:space="preserve"> </w:t>
      </w:r>
      <w:r>
        <w:t xml:space="preserve">(HTTP calls to VSDC/OSDC)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backend/src/main/java/com/hms/ebm/EbmOutboxProcessor.java</w:t>
      </w:r>
      <w:r>
        <w:t xml:space="preserve"> </w:t>
      </w:r>
      <w:r>
        <w:t xml:space="preserve">(scheduled worker)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backend/src/main/java/com/hms/ebm/EbmSyncJob.java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backend/src/main/java/com/hms/ebm/ItemCdGenerator.java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backend/src/main/java/com/hms/service/EbmDeviceService.java</w:t>
      </w:r>
      <w:r>
        <w:t xml:space="preserve"> </w:t>
      </w:r>
      <w:r>
        <w:t xml:space="preserve">(Initialization flow)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backend/src/main/java/com/hms/api/EbmController.java</w:t>
      </w:r>
      <w:r>
        <w:t xml:space="preserve"> </w:t>
      </w:r>
      <w:r>
        <w:t xml:space="preserve">(admin endpoints: init device, view outbox/health)</w:t>
      </w:r>
    </w:p>
    <w:p>
      <w:pPr>
        <w:pStyle w:val="BodyText"/>
      </w:pPr>
      <w:r>
        <w:rPr>
          <w:bCs/>
          <w:b/>
        </w:rPr>
        <w:t xml:space="preserve">pos-mini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pos-mini/src/db/migrations.ts</w:t>
      </w:r>
      <w:r>
        <w:t xml:space="preserve"> </w:t>
      </w:r>
      <w:r>
        <w:t xml:space="preserve">→ add v5 migration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pos-mini/src/ebm/client.ts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outbox.ts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itemCd.ts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sync.ts</w:t>
      </w:r>
      <w:r>
        <w:t xml:space="preserve">,</w:t>
      </w:r>
      <w:r>
        <w:t xml:space="preserve"> </w:t>
      </w:r>
      <w:r>
        <w:rPr>
          <w:rStyle w:val="VerbatimChar"/>
        </w:rPr>
        <w:t xml:space="preserve">deviceInit.ts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pos-mini/app/(main)/settings/ebm.tsx</w:t>
      </w:r>
      <w:r>
        <w:t xml:space="preserve"> </w:t>
      </w:r>
      <w:r>
        <w:t xml:space="preserve">(Initialization + health screen)</w:t>
      </w:r>
    </w:p>
    <w:p>
      <w:pPr>
        <w:pStyle w:val="BodyText"/>
      </w:pPr>
      <w:r>
        <w:rPr>
          <w:bCs/>
          <w:b/>
        </w:rPr>
        <w:t xml:space="preserve">Shared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docs/ebm/contract.md</w:t>
      </w:r>
      <w:r>
        <w:t xml:space="preserve"> </w:t>
      </w:r>
      <w:r>
        <w:t xml:space="preserve">(§5)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docs/ebm/official/</w:t>
      </w:r>
      <w:r>
        <w:t xml:space="preserve"> </w:t>
      </w:r>
      <w:r>
        <w:t xml:space="preserve">(drop the official RRA PDFs/specs once obtained in Phase 0)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2026-07-04T21:00:10Z</dcterms:created>
  <dcterms:modified xsi:type="dcterms:W3CDTF">2026-07-04T21:00:10Z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