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RWANDA REVENUE AUTHORITY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8B6914"/>
          <w:sz w:val="18"/>
          <w:szCs w:val="18"/>
        </w:rPr>
        <w:t xml:space="preserve">CIS for VSDC — enclosed documentation</w:t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HotelERP CIS — User manual (EBM / VSDC)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Software:</w:t>
      </w:r>
      <w:r>
        <w:rPr>
          <w:rFonts w:ascii="Calibri" w:cs="Calibri" w:eastAsia="Calibri" w:hAnsi="Calibri"/>
          <w:sz w:val="22"/>
          <w:szCs w:val="22"/>
        </w:rPr>
        <w:t xml:space="preserve"> HotelERP CIS 1.0.0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Audience:</w:t>
      </w:r>
      <w:r>
        <w:rPr>
          <w:rFonts w:ascii="Calibri" w:cs="Calibri" w:eastAsia="Calibri" w:hAnsi="Calibri"/>
          <w:sz w:val="22"/>
          <w:szCs w:val="22"/>
        </w:rPr>
        <w:t xml:space="preserve"> Hotel / restaurant / shop cashiers, supervisors, accountants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1. Sign in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Open https://kivucloud.rw/login with the staff username issued for your property.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2. Enable EBM (supervisor)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Settings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EBM / VSDC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 taxpayer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TIN</w:t>
      </w:r>
      <w:r>
        <w:rPr>
          <w:rFonts w:ascii="Calibri" w:cs="Calibri" w:eastAsia="Calibri" w:hAnsi="Calibri"/>
          <w:sz w:val="22"/>
          <w:szCs w:val="22"/>
        </w:rPr>
        <w:t xml:space="preserve">, branch ID (default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00</w:t>
      </w:r>
      <w:r>
        <w:rPr>
          <w:rFonts w:ascii="Calibri" w:cs="Calibri" w:eastAsia="Calibri" w:hAnsi="Calibri"/>
          <w:sz w:val="22"/>
          <w:szCs w:val="22"/>
        </w:rPr>
        <w:t xml:space="preserve">), device serial, VSDC/OSDC URL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Save device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Initialize</w:t>
      </w:r>
      <w:r>
        <w:rPr>
          <w:rFonts w:ascii="Calibri" w:cs="Calibri" w:eastAsia="Calibri" w:hAnsi="Calibri"/>
          <w:sz w:val="22"/>
          <w:szCs w:val="22"/>
        </w:rPr>
        <w:t xml:space="preserve"> (consumes Initialization API)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SDC ID and MRC are stored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Keep the property online; VSDC must be reachable for NS/NR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3. Normal sale (NS)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POS: add identified items (name, qty, price, tax A/B) → tender (Cash / Card / Mobile / Credit) → print.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HotelERP sends transaction then invoice to VSDC, then stock in/out and stock master. The slip prints SDC INFORMATION + QR after ACK.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4. Normal refund (NR)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Invoices / POS refund: select original sale, enter reason, confirm. Amounts print negative and reference the original receipt. Only one refund per original is allowed.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5. Proforma (PS)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POS proforma or reservation proforma. Marked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PROFORMA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NOT AN OFFICIAL RECEIPT</w:t>
      </w:r>
      <w:r>
        <w:rPr>
          <w:rFonts w:ascii="Calibri" w:cs="Calibri" w:eastAsia="Calibri" w:hAnsi="Calibri"/>
          <w:sz w:val="22"/>
          <w:szCs w:val="22"/>
        </w:rPr>
        <w:t xml:space="preserve">. Not a VAT invoice.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6. Copy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Reprint from Invoices. Copy must not replace the original; use it only as a duplicate.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7. Stock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Inventory: receive PO (purchase save to VSDC), sell (stock out), view remaining qty. Goods cannot be sold below stock; services can.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8. Reports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POS shifts, sales analytics, inventory, purchases, voids. Daily X/Z style summaries are taken from shift close and accounting reports.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9. Errors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VSDC returns an error, the cashier sees it on EBM settings (outbox) and must not treat a pending slip as a certified original.</w:t>
      </w:r>
    </w:p>
    <w:sectPr>
      <w:headerReference w:type="default" r:id="rId6"/>
      <w:footerReference w:type="default" r:id="rId7"/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https://kivucloud.rw   ·  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Kivu Cloud Solutions  ·  HotelERP CIS 1.0.0  ·  RRA VSDC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2026-10-01T00:49:14.485Z</dcterms:created>
  <dcterms:modified xsi:type="dcterms:W3CDTF">2026-10-01T00:49:14.485Z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