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9804" w14:textId="77777777" w:rsidR="00234B18" w:rsidRPr="00E531FA" w:rsidRDefault="00234B18" w:rsidP="00E531FA">
      <w:pPr>
        <w:pStyle w:val="a7"/>
        <w:spacing w:line="480" w:lineRule="auto"/>
        <w:ind w:firstLineChars="200" w:firstLine="482"/>
        <w:jc w:val="center"/>
        <w:rPr>
          <w:rFonts w:ascii="Times New Roman" w:hAnsi="Times New Roman" w:cs="Times New Roman"/>
        </w:rPr>
      </w:pPr>
      <w:r w:rsidRPr="00E531FA">
        <w:rPr>
          <w:rStyle w:val="a8"/>
          <w:rFonts w:ascii="Times New Roman" w:hAnsi="Times New Roman" w:cs="Times New Roman"/>
        </w:rPr>
        <w:t>Memo to the Chairperson of the Senate Judiciary Committee: Strategies to Reduce Community Violence</w:t>
      </w:r>
    </w:p>
    <w:p w14:paraId="2312531C" w14:textId="2C3232AD" w:rsidR="00234B18" w:rsidRPr="00E531FA" w:rsidRDefault="00234B18" w:rsidP="00E531FA">
      <w:pPr>
        <w:pStyle w:val="a7"/>
        <w:spacing w:line="480" w:lineRule="auto"/>
        <w:ind w:firstLineChars="200" w:firstLine="480"/>
        <w:rPr>
          <w:rFonts w:ascii="Times New Roman" w:hAnsi="Times New Roman" w:cs="Times New Roman"/>
        </w:rPr>
      </w:pPr>
      <w:r w:rsidRPr="00E531FA">
        <w:rPr>
          <w:rFonts w:ascii="Times New Roman" w:hAnsi="Times New Roman" w:cs="Times New Roman"/>
        </w:rPr>
        <w:t xml:space="preserve">Community violence involving firearms, alcohol, and drugs has emerged as a pervasive public health crisis in the United States, causing immense harm to individuals, families, and communities. In 2022 alone, firearm-related violence accounted for over 45,000 deaths, many of which were directly or indirectly associated with substance </w:t>
      </w:r>
      <w:proofErr w:type="gramStart"/>
      <w:r w:rsidRPr="00E531FA">
        <w:rPr>
          <w:rFonts w:ascii="Times New Roman" w:hAnsi="Times New Roman" w:cs="Times New Roman"/>
        </w:rPr>
        <w:t>use</w:t>
      </w:r>
      <w:r w:rsidR="000B0242" w:rsidRPr="00E531FA">
        <w:rPr>
          <w:rFonts w:ascii="Times New Roman" w:hAnsi="Times New Roman" w:cs="Times New Roman"/>
        </w:rPr>
        <w:t>(</w:t>
      </w:r>
      <w:proofErr w:type="gramEnd"/>
      <w:r w:rsidR="000B0242" w:rsidRPr="00E531FA">
        <w:rPr>
          <w:rFonts w:ascii="Times New Roman" w:hAnsi="Times New Roman" w:cs="Times New Roman"/>
        </w:rPr>
        <w:t>Centers for Disease Control and Prevention, 2022)</w:t>
      </w:r>
      <w:r w:rsidRPr="00E531FA">
        <w:rPr>
          <w:rFonts w:ascii="Times New Roman" w:hAnsi="Times New Roman" w:cs="Times New Roman"/>
        </w:rPr>
        <w:t>. Alcohol and drugs amplify impulsive behaviors, increasing the likelihood of violent confrontations, while neighborhoods with limited access to social resources and high levels of substance availability often experience a disproportionate burden of violence</w:t>
      </w:r>
      <w:r w:rsidR="000B0242" w:rsidRPr="00E531FA">
        <w:rPr>
          <w:rFonts w:ascii="Times New Roman" w:hAnsi="Times New Roman" w:cs="Times New Roman"/>
        </w:rPr>
        <w:t xml:space="preserve"> (Green &amp; Horel, 2016)</w:t>
      </w:r>
      <w:r w:rsidRPr="00E531FA">
        <w:rPr>
          <w:rFonts w:ascii="Times New Roman" w:hAnsi="Times New Roman" w:cs="Times New Roman"/>
        </w:rPr>
        <w:t>. Addressing this crisis requires innovative and evidence-based solutions that go beyond traditional approaches to ensure sustainable and equitable outcomes.</w:t>
      </w:r>
    </w:p>
    <w:p w14:paraId="110B1E42" w14:textId="77777777" w:rsidR="00234B18" w:rsidRPr="00E531FA" w:rsidRDefault="00234B18" w:rsidP="00E531FA">
      <w:pPr>
        <w:pStyle w:val="a7"/>
        <w:spacing w:line="480" w:lineRule="auto"/>
        <w:ind w:firstLineChars="200" w:firstLine="480"/>
        <w:rPr>
          <w:rFonts w:ascii="Times New Roman" w:hAnsi="Times New Roman" w:cs="Times New Roman"/>
        </w:rPr>
      </w:pPr>
      <w:r w:rsidRPr="00E531FA">
        <w:rPr>
          <w:rFonts w:ascii="Times New Roman" w:hAnsi="Times New Roman" w:cs="Times New Roman"/>
        </w:rPr>
        <w:t>To mitigate the impact of violence, I propose a comprehensive dual strategy: scaling up community-based violence intervention programs (CVIPs) and enacting stricter regulations on alcohol and drug accessibility in high-risk neighborhoods. These approaches should be supplemented with robust social support systems aimed at addressing the root causes of violence.</w:t>
      </w:r>
    </w:p>
    <w:p w14:paraId="72948F95" w14:textId="1B50406C" w:rsidR="00234B18" w:rsidRPr="00E531FA" w:rsidRDefault="00234B18" w:rsidP="00E531FA">
      <w:pPr>
        <w:pStyle w:val="a7"/>
        <w:spacing w:line="480" w:lineRule="auto"/>
        <w:ind w:firstLineChars="200" w:firstLine="480"/>
        <w:rPr>
          <w:rFonts w:ascii="Times New Roman" w:hAnsi="Times New Roman" w:cs="Times New Roman"/>
        </w:rPr>
      </w:pPr>
      <w:r w:rsidRPr="00E531FA">
        <w:rPr>
          <w:rFonts w:ascii="Times New Roman" w:hAnsi="Times New Roman" w:cs="Times New Roman"/>
        </w:rPr>
        <w:t>CVIPs, such as Cure Violence and Advance Peace, have consistently demonstrated effectiveness in reducing firearm-related violence. These programs employ credible messengers, often individuals with lived experience in violence, to mediate conflicts, support high-risk individuals, and foster community trust. A study conducted in Chicago revealed that neighborhoods implementing Cure Violence experienced a 41% reduction in shootings, highlighting its scalability and adaptability to various urban contexts</w:t>
      </w:r>
      <w:r w:rsidR="00E531FA" w:rsidRPr="00E531FA">
        <w:rPr>
          <w:rFonts w:ascii="Times New Roman" w:hAnsi="Times New Roman" w:cs="Times New Roman"/>
        </w:rPr>
        <w:t xml:space="preserve"> (</w:t>
      </w:r>
      <w:proofErr w:type="spellStart"/>
      <w:r w:rsidR="00E531FA" w:rsidRPr="00E531FA">
        <w:rPr>
          <w:rFonts w:ascii="Times New Roman" w:hAnsi="Times New Roman" w:cs="Times New Roman"/>
        </w:rPr>
        <w:t>Skogan</w:t>
      </w:r>
      <w:proofErr w:type="spellEnd"/>
      <w:r w:rsidR="00E531FA" w:rsidRPr="00E531FA">
        <w:rPr>
          <w:rFonts w:ascii="Times New Roman" w:hAnsi="Times New Roman" w:cs="Times New Roman"/>
        </w:rPr>
        <w:t xml:space="preserve"> et al., 2009)</w:t>
      </w:r>
      <w:r w:rsidRPr="00E531FA">
        <w:rPr>
          <w:rFonts w:ascii="Times New Roman" w:hAnsi="Times New Roman" w:cs="Times New Roman"/>
        </w:rPr>
        <w:t xml:space="preserve">. </w:t>
      </w:r>
      <w:r w:rsidRPr="00E531FA">
        <w:rPr>
          <w:rFonts w:ascii="Times New Roman" w:hAnsi="Times New Roman" w:cs="Times New Roman"/>
        </w:rPr>
        <w:lastRenderedPageBreak/>
        <w:t>Additionally, CVIPs emphasize prevention and rehabilitation rather than punitive measures, aligning with evidence-based public health approaches</w:t>
      </w:r>
      <w:r w:rsidR="00E531FA" w:rsidRPr="00E531FA">
        <w:rPr>
          <w:rFonts w:ascii="Times New Roman" w:hAnsi="Times New Roman" w:cs="Times New Roman"/>
        </w:rPr>
        <w:t xml:space="preserve"> (Advance Peace, 2020)</w:t>
      </w:r>
      <w:r w:rsidRPr="00E531FA">
        <w:rPr>
          <w:rFonts w:ascii="Times New Roman" w:hAnsi="Times New Roman" w:cs="Times New Roman"/>
        </w:rPr>
        <w:t>.</w:t>
      </w:r>
    </w:p>
    <w:p w14:paraId="48553D84" w14:textId="38CC9C2E" w:rsidR="00234B18" w:rsidRPr="00E531FA" w:rsidRDefault="00234B18" w:rsidP="00E531FA">
      <w:pPr>
        <w:pStyle w:val="a7"/>
        <w:spacing w:line="480" w:lineRule="auto"/>
        <w:ind w:firstLineChars="200" w:firstLine="480"/>
        <w:rPr>
          <w:rFonts w:ascii="Times New Roman" w:hAnsi="Times New Roman" w:cs="Times New Roman"/>
        </w:rPr>
      </w:pPr>
      <w:r w:rsidRPr="00E531FA">
        <w:rPr>
          <w:rFonts w:ascii="Times New Roman" w:hAnsi="Times New Roman" w:cs="Times New Roman"/>
        </w:rPr>
        <w:t xml:space="preserve">The second pillar of this strategy involves regulating the sale and distribution of alcohol and drugs, which are key contributors to community violence. Research published in the </w:t>
      </w:r>
      <w:r w:rsidRPr="00E531FA">
        <w:rPr>
          <w:rStyle w:val="a9"/>
          <w:rFonts w:ascii="Times New Roman" w:hAnsi="Times New Roman" w:cs="Times New Roman"/>
        </w:rPr>
        <w:t>American Journal of Preventive Medicine</w:t>
      </w:r>
      <w:r w:rsidRPr="00E531FA">
        <w:rPr>
          <w:rFonts w:ascii="Times New Roman" w:hAnsi="Times New Roman" w:cs="Times New Roman"/>
        </w:rPr>
        <w:t xml:space="preserve"> found that neighborhoods with fewer alcohol outlets reported significantly lower violent crime rates, underscoring the importance of accessibility controls</w:t>
      </w:r>
      <w:r w:rsidR="00E531FA" w:rsidRPr="00E531FA">
        <w:rPr>
          <w:rFonts w:ascii="Times New Roman" w:hAnsi="Times New Roman" w:cs="Times New Roman"/>
        </w:rPr>
        <w:t xml:space="preserve"> (Green &amp; Horel, 2016)</w:t>
      </w:r>
      <w:r w:rsidRPr="00E531FA">
        <w:rPr>
          <w:rFonts w:ascii="Times New Roman" w:hAnsi="Times New Roman" w:cs="Times New Roman"/>
        </w:rPr>
        <w:t>. Zoning laws to limit the density of liquor stores, coupled with stricter penalties for illegal drug sales, can significantly reduce substance-fueled violence. Complementary public education campaigns can further enhance community awareness and discourage substance misuse.</w:t>
      </w:r>
    </w:p>
    <w:p w14:paraId="0925CA7F" w14:textId="3EC2CF90" w:rsidR="00234B18" w:rsidRPr="00E531FA" w:rsidRDefault="00234B18" w:rsidP="00E531FA">
      <w:pPr>
        <w:pStyle w:val="a7"/>
        <w:spacing w:line="480" w:lineRule="auto"/>
        <w:ind w:firstLineChars="200" w:firstLine="480"/>
        <w:rPr>
          <w:rFonts w:ascii="Times New Roman" w:hAnsi="Times New Roman" w:cs="Times New Roman"/>
        </w:rPr>
      </w:pPr>
      <w:r w:rsidRPr="00E531FA">
        <w:rPr>
          <w:rFonts w:ascii="Times New Roman" w:hAnsi="Times New Roman" w:cs="Times New Roman"/>
        </w:rPr>
        <w:t>Enhancing social support systems is critical to addressing the systemic issues that perpetuate violence. Increased funding for mental health services, workforce training, and youth development programs can provide individuals in high-risk communities with alternative pathways to stability and success. For example, job training programs have been shown to reduce recidivism and offer viable alternatives to individuals who might otherwise engage in illegal activities</w:t>
      </w:r>
      <w:r w:rsidR="00E531FA" w:rsidRPr="00E531FA">
        <w:rPr>
          <w:rFonts w:ascii="Times New Roman" w:hAnsi="Times New Roman" w:cs="Times New Roman"/>
        </w:rPr>
        <w:t xml:space="preserve"> (Wilson &amp; Lipsey, 2007)</w:t>
      </w:r>
      <w:r w:rsidRPr="00E531FA">
        <w:rPr>
          <w:rFonts w:ascii="Times New Roman" w:hAnsi="Times New Roman" w:cs="Times New Roman"/>
        </w:rPr>
        <w:t>. After-school programs can also play a crucial role in reducing youth involvement in violent behaviors by providing safe and structured environments for personal growth</w:t>
      </w:r>
      <w:r w:rsidR="00E531FA" w:rsidRPr="00E531FA">
        <w:rPr>
          <w:rFonts w:ascii="Times New Roman" w:hAnsi="Times New Roman" w:cs="Times New Roman"/>
        </w:rPr>
        <w:t xml:space="preserve"> (Wilson &amp; Lipsey, 2007)</w:t>
      </w:r>
      <w:r w:rsidRPr="00E531FA">
        <w:rPr>
          <w:rFonts w:ascii="Times New Roman" w:hAnsi="Times New Roman" w:cs="Times New Roman"/>
        </w:rPr>
        <w:t>.</w:t>
      </w:r>
    </w:p>
    <w:p w14:paraId="1FA7F187" w14:textId="77777777" w:rsidR="00E531FA" w:rsidRPr="00E531FA" w:rsidRDefault="00E531FA" w:rsidP="00E531FA">
      <w:pPr>
        <w:pStyle w:val="a7"/>
        <w:spacing w:line="480" w:lineRule="auto"/>
        <w:ind w:firstLineChars="200" w:firstLine="480"/>
        <w:rPr>
          <w:rFonts w:ascii="Times New Roman" w:hAnsi="Times New Roman" w:cs="Times New Roman"/>
        </w:rPr>
      </w:pPr>
      <w:r w:rsidRPr="00E531FA">
        <w:rPr>
          <w:rFonts w:ascii="Times New Roman" w:hAnsi="Times New Roman" w:cs="Times New Roman"/>
        </w:rPr>
        <w:t>While this strategy is promising, it is not without challenges. Community skepticism toward CVIPs is a significant barrier, as residents may doubt their efficacy or perceive them as insufficient without immediate, visible outcomes (</w:t>
      </w:r>
      <w:proofErr w:type="spellStart"/>
      <w:r w:rsidRPr="00E531FA">
        <w:rPr>
          <w:rFonts w:ascii="Times New Roman" w:hAnsi="Times New Roman" w:cs="Times New Roman"/>
        </w:rPr>
        <w:t>Skogan</w:t>
      </w:r>
      <w:proofErr w:type="spellEnd"/>
      <w:r w:rsidRPr="00E531FA">
        <w:rPr>
          <w:rFonts w:ascii="Times New Roman" w:hAnsi="Times New Roman" w:cs="Times New Roman"/>
        </w:rPr>
        <w:t xml:space="preserve"> et al., 2009). Moreover, economic pushback from the alcohol and retail industries may arise, as these stakeholders often argue that </w:t>
      </w:r>
      <w:r w:rsidRPr="00E531FA">
        <w:rPr>
          <w:rFonts w:ascii="Times New Roman" w:hAnsi="Times New Roman" w:cs="Times New Roman"/>
        </w:rPr>
        <w:lastRenderedPageBreak/>
        <w:t>restrictive measures harm local businesses (Green &amp; Horel, 2016). Resource allocation poses an additional challenge, as expanding social support services requires significant investment, particularly in economically disadvantaged regions (World Health Organization, 2018).</w:t>
      </w:r>
    </w:p>
    <w:p w14:paraId="08E98DF4" w14:textId="77777777" w:rsidR="00E531FA" w:rsidRPr="00E531FA" w:rsidRDefault="00E531FA" w:rsidP="00E531FA">
      <w:pPr>
        <w:pStyle w:val="a7"/>
        <w:spacing w:line="480" w:lineRule="auto"/>
        <w:ind w:firstLineChars="200" w:firstLine="480"/>
        <w:rPr>
          <w:rFonts w:ascii="Times New Roman" w:hAnsi="Times New Roman" w:cs="Times New Roman"/>
        </w:rPr>
      </w:pPr>
      <w:r w:rsidRPr="00E531FA">
        <w:rPr>
          <w:rFonts w:ascii="Times New Roman" w:hAnsi="Times New Roman" w:cs="Times New Roman"/>
        </w:rPr>
        <w:t>To address these concerns, it is imperative to build trust and engage communities actively in program design and implementation. Transparency, consistent communication, and the inclusion of local stakeholders in decision-making processes are essential to fostering community buy-in (Advance Peace, 2020). Publicizing success stories and quantitative results from similar programs can further bolster confidence in their potential impact (</w:t>
      </w:r>
      <w:proofErr w:type="spellStart"/>
      <w:r w:rsidRPr="00E531FA">
        <w:rPr>
          <w:rFonts w:ascii="Times New Roman" w:hAnsi="Times New Roman" w:cs="Times New Roman"/>
        </w:rPr>
        <w:t>Skogan</w:t>
      </w:r>
      <w:proofErr w:type="spellEnd"/>
      <w:r w:rsidRPr="00E531FA">
        <w:rPr>
          <w:rFonts w:ascii="Times New Roman" w:hAnsi="Times New Roman" w:cs="Times New Roman"/>
        </w:rPr>
        <w:t xml:space="preserve"> et al., 2009). Regarding economic pushback, it is crucial to emphasize the long-term benefits of violence reduction, including lower healthcare expenditures, safer neighborhoods, and improved business environments (Green &amp; Horel, 2016). Funding challenges can be addressed by reallocating resources from punitive criminal justice approaches toward preventive and rehabilitative strategies, a shift that has proven cost-effective in numerous contexts (Wilson &amp; Lipsey, 2007).</w:t>
      </w:r>
    </w:p>
    <w:p w14:paraId="02F78F2E" w14:textId="77777777" w:rsidR="00E531FA" w:rsidRPr="00E531FA" w:rsidRDefault="00E531FA" w:rsidP="00E531FA">
      <w:pPr>
        <w:pStyle w:val="a7"/>
        <w:spacing w:line="480" w:lineRule="auto"/>
        <w:ind w:firstLineChars="200" w:firstLine="480"/>
        <w:rPr>
          <w:rFonts w:ascii="Times New Roman" w:hAnsi="Times New Roman" w:cs="Times New Roman"/>
        </w:rPr>
      </w:pPr>
      <w:r w:rsidRPr="00E531FA">
        <w:rPr>
          <w:rFonts w:ascii="Times New Roman" w:hAnsi="Times New Roman" w:cs="Times New Roman"/>
        </w:rPr>
        <w:t>Reducing community violence requires a multi-pronged approach that integrates prevention, regulation, and systemic support. By investing in CVIPs, regulating substance accessibility, and enhancing social support systems, policymakers can address both the symptoms and underlying causes of violence. This strategy not only saves lives but also creates healthier, more equitable communities. I strongly urge the committee to prioritize these measures in upcoming legislative sessions to foster sustainable and meaningful change.</w:t>
      </w:r>
    </w:p>
    <w:p w14:paraId="3C76B424" w14:textId="77777777" w:rsidR="00E531FA" w:rsidRDefault="00E531FA" w:rsidP="00234B18">
      <w:pPr>
        <w:pStyle w:val="a7"/>
        <w:spacing w:line="480" w:lineRule="auto"/>
        <w:ind w:firstLineChars="200" w:firstLine="482"/>
        <w:rPr>
          <w:rStyle w:val="a8"/>
          <w:rFonts w:ascii="Times New Roman" w:hAnsi="Times New Roman" w:cs="Times New Roman"/>
        </w:rPr>
        <w:sectPr w:rsidR="00E531FA">
          <w:pgSz w:w="12240" w:h="15840"/>
          <w:pgMar w:top="1440" w:right="1440" w:bottom="1440" w:left="1440" w:header="720" w:footer="720" w:gutter="0"/>
          <w:cols w:space="720"/>
          <w:docGrid w:linePitch="360"/>
        </w:sectPr>
      </w:pPr>
    </w:p>
    <w:p w14:paraId="55A6BB50" w14:textId="6EA5F995" w:rsidR="00234B18" w:rsidRPr="00234B18" w:rsidRDefault="00234B18" w:rsidP="00E531FA">
      <w:pPr>
        <w:pStyle w:val="a7"/>
        <w:spacing w:line="480" w:lineRule="auto"/>
        <w:ind w:firstLineChars="200" w:firstLine="482"/>
        <w:jc w:val="center"/>
        <w:rPr>
          <w:rFonts w:ascii="Times New Roman" w:hAnsi="Times New Roman" w:cs="Times New Roman"/>
        </w:rPr>
      </w:pPr>
      <w:r w:rsidRPr="00234B18">
        <w:rPr>
          <w:rStyle w:val="a8"/>
          <w:rFonts w:ascii="Times New Roman" w:hAnsi="Times New Roman" w:cs="Times New Roman"/>
        </w:rPr>
        <w:lastRenderedPageBreak/>
        <w:t>Reference</w:t>
      </w:r>
    </w:p>
    <w:p w14:paraId="786CC573" w14:textId="77777777" w:rsidR="00234B18" w:rsidRPr="00E531FA" w:rsidRDefault="00234B18" w:rsidP="00E531FA">
      <w:pPr>
        <w:spacing w:before="100" w:beforeAutospacing="1" w:after="100" w:afterAutospacing="1" w:line="240" w:lineRule="auto"/>
        <w:ind w:left="480" w:hangingChars="200" w:hanging="480"/>
        <w:rPr>
          <w:rFonts w:ascii="Times New Roman" w:hAnsi="Times New Roman" w:cs="Times New Roman"/>
          <w:sz w:val="24"/>
          <w:szCs w:val="24"/>
        </w:rPr>
      </w:pPr>
      <w:r w:rsidRPr="00E531FA">
        <w:rPr>
          <w:rFonts w:ascii="Times New Roman" w:hAnsi="Times New Roman" w:cs="Times New Roman"/>
          <w:sz w:val="24"/>
          <w:szCs w:val="24"/>
        </w:rPr>
        <w:t xml:space="preserve">Centers for Disease Control and Prevention. (2022). </w:t>
      </w:r>
      <w:r w:rsidRPr="00E531FA">
        <w:rPr>
          <w:rStyle w:val="a9"/>
          <w:rFonts w:ascii="Times New Roman" w:hAnsi="Times New Roman" w:cs="Times New Roman"/>
          <w:sz w:val="24"/>
          <w:szCs w:val="24"/>
        </w:rPr>
        <w:t>Firearm mortality by state</w:t>
      </w:r>
      <w:r w:rsidRPr="00E531FA">
        <w:rPr>
          <w:rFonts w:ascii="Times New Roman" w:hAnsi="Times New Roman" w:cs="Times New Roman"/>
          <w:sz w:val="24"/>
          <w:szCs w:val="24"/>
        </w:rPr>
        <w:t xml:space="preserve">. Retrieved from </w:t>
      </w:r>
      <w:hyperlink r:id="rId6" w:history="1">
        <w:r w:rsidRPr="00E531FA">
          <w:rPr>
            <w:rStyle w:val="a3"/>
            <w:rFonts w:ascii="Times New Roman" w:hAnsi="Times New Roman" w:cs="Times New Roman"/>
            <w:sz w:val="24"/>
            <w:szCs w:val="24"/>
          </w:rPr>
          <w:t>www.cdc.gov</w:t>
        </w:r>
      </w:hyperlink>
      <w:r w:rsidRPr="00E531FA">
        <w:rPr>
          <w:rFonts w:ascii="Times New Roman" w:hAnsi="Times New Roman" w:cs="Times New Roman"/>
          <w:sz w:val="24"/>
          <w:szCs w:val="24"/>
        </w:rPr>
        <w:t>.</w:t>
      </w:r>
    </w:p>
    <w:p w14:paraId="4609FEE7" w14:textId="77777777" w:rsidR="00234B18" w:rsidRPr="00E531FA" w:rsidRDefault="00234B18" w:rsidP="00E531FA">
      <w:pPr>
        <w:spacing w:before="100" w:beforeAutospacing="1" w:after="100" w:afterAutospacing="1" w:line="240" w:lineRule="auto"/>
        <w:ind w:left="480" w:hangingChars="200" w:hanging="480"/>
        <w:rPr>
          <w:rFonts w:ascii="Times New Roman" w:hAnsi="Times New Roman" w:cs="Times New Roman"/>
          <w:sz w:val="24"/>
          <w:szCs w:val="24"/>
        </w:rPr>
      </w:pPr>
      <w:r w:rsidRPr="00E531FA">
        <w:rPr>
          <w:rFonts w:ascii="Times New Roman" w:hAnsi="Times New Roman" w:cs="Times New Roman"/>
          <w:sz w:val="24"/>
          <w:szCs w:val="24"/>
        </w:rPr>
        <w:t xml:space="preserve">Green, B., &amp; Horel, S. (2016). Alcohol outlets and community violence. </w:t>
      </w:r>
      <w:r w:rsidRPr="00E531FA">
        <w:rPr>
          <w:rStyle w:val="a9"/>
          <w:rFonts w:ascii="Times New Roman" w:hAnsi="Times New Roman" w:cs="Times New Roman"/>
          <w:sz w:val="24"/>
          <w:szCs w:val="24"/>
        </w:rPr>
        <w:t>American Journal of Preventive Medicine, 50</w:t>
      </w:r>
      <w:r w:rsidRPr="00E531FA">
        <w:rPr>
          <w:rFonts w:ascii="Times New Roman" w:hAnsi="Times New Roman" w:cs="Times New Roman"/>
          <w:sz w:val="24"/>
          <w:szCs w:val="24"/>
        </w:rPr>
        <w:t>(5), 590-597.</w:t>
      </w:r>
    </w:p>
    <w:p w14:paraId="0884AFF9" w14:textId="77777777" w:rsidR="00234B18" w:rsidRPr="00E531FA" w:rsidRDefault="00234B18" w:rsidP="00E531FA">
      <w:pPr>
        <w:spacing w:before="100" w:beforeAutospacing="1" w:after="100" w:afterAutospacing="1" w:line="240" w:lineRule="auto"/>
        <w:ind w:left="480" w:hangingChars="200" w:hanging="480"/>
        <w:rPr>
          <w:rFonts w:ascii="Times New Roman" w:hAnsi="Times New Roman" w:cs="Times New Roman"/>
          <w:sz w:val="24"/>
          <w:szCs w:val="24"/>
        </w:rPr>
      </w:pPr>
      <w:proofErr w:type="spellStart"/>
      <w:r w:rsidRPr="00E531FA">
        <w:rPr>
          <w:rFonts w:ascii="Times New Roman" w:hAnsi="Times New Roman" w:cs="Times New Roman"/>
          <w:sz w:val="24"/>
          <w:szCs w:val="24"/>
        </w:rPr>
        <w:t>Skogan</w:t>
      </w:r>
      <w:proofErr w:type="spellEnd"/>
      <w:r w:rsidRPr="00E531FA">
        <w:rPr>
          <w:rFonts w:ascii="Times New Roman" w:hAnsi="Times New Roman" w:cs="Times New Roman"/>
          <w:sz w:val="24"/>
          <w:szCs w:val="24"/>
        </w:rPr>
        <w:t xml:space="preserve">, W. G., Hartnett, S. M., Bump, N., &amp; Dubois, J. (2009). Evaluation of </w:t>
      </w:r>
      <w:proofErr w:type="spellStart"/>
      <w:r w:rsidRPr="00E531FA">
        <w:rPr>
          <w:rFonts w:ascii="Times New Roman" w:hAnsi="Times New Roman" w:cs="Times New Roman"/>
          <w:sz w:val="24"/>
          <w:szCs w:val="24"/>
        </w:rPr>
        <w:t>CeaseFire</w:t>
      </w:r>
      <w:proofErr w:type="spellEnd"/>
      <w:r w:rsidRPr="00E531FA">
        <w:rPr>
          <w:rFonts w:ascii="Times New Roman" w:hAnsi="Times New Roman" w:cs="Times New Roman"/>
          <w:sz w:val="24"/>
          <w:szCs w:val="24"/>
        </w:rPr>
        <w:t xml:space="preserve">-Chicago. </w:t>
      </w:r>
      <w:r w:rsidRPr="00E531FA">
        <w:rPr>
          <w:rStyle w:val="a9"/>
          <w:rFonts w:ascii="Times New Roman" w:hAnsi="Times New Roman" w:cs="Times New Roman"/>
          <w:sz w:val="24"/>
          <w:szCs w:val="24"/>
        </w:rPr>
        <w:t>National Institute of Justice</w:t>
      </w:r>
      <w:r w:rsidRPr="00E531FA">
        <w:rPr>
          <w:rFonts w:ascii="Times New Roman" w:hAnsi="Times New Roman" w:cs="Times New Roman"/>
          <w:sz w:val="24"/>
          <w:szCs w:val="24"/>
        </w:rPr>
        <w:t>.</w:t>
      </w:r>
    </w:p>
    <w:p w14:paraId="1B31D730" w14:textId="7418C5EF" w:rsidR="00E531FA" w:rsidRPr="00E531FA" w:rsidRDefault="00E531FA" w:rsidP="00E531FA">
      <w:pPr>
        <w:spacing w:before="100" w:beforeAutospacing="1" w:after="100" w:afterAutospacing="1" w:line="240" w:lineRule="auto"/>
        <w:ind w:left="480" w:hangingChars="200" w:hanging="480"/>
        <w:rPr>
          <w:rFonts w:ascii="Times New Roman" w:hAnsi="Times New Roman" w:cs="Times New Roman"/>
          <w:sz w:val="24"/>
          <w:szCs w:val="24"/>
        </w:rPr>
      </w:pPr>
      <w:r w:rsidRPr="00E531FA">
        <w:rPr>
          <w:rFonts w:ascii="Times New Roman" w:hAnsi="Times New Roman" w:cs="Times New Roman"/>
          <w:sz w:val="24"/>
          <w:szCs w:val="24"/>
        </w:rPr>
        <w:t xml:space="preserve">Webster, D. W., &amp; Wintemute, G. J. (2015). Effects of policies designed to keep firearms from high-risk individuals. </w:t>
      </w:r>
      <w:r w:rsidRPr="00E531FA">
        <w:rPr>
          <w:rStyle w:val="a9"/>
          <w:rFonts w:ascii="Times New Roman" w:hAnsi="Times New Roman" w:cs="Times New Roman"/>
          <w:sz w:val="24"/>
          <w:szCs w:val="24"/>
        </w:rPr>
        <w:t>Annual Review of Public Health, 36</w:t>
      </w:r>
      <w:r w:rsidRPr="00E531FA">
        <w:rPr>
          <w:rFonts w:ascii="Times New Roman" w:hAnsi="Times New Roman" w:cs="Times New Roman"/>
          <w:sz w:val="24"/>
          <w:szCs w:val="24"/>
        </w:rPr>
        <w:t>(1), 21-37.</w:t>
      </w:r>
    </w:p>
    <w:p w14:paraId="655FA4F1" w14:textId="76FB211A" w:rsidR="00234B18" w:rsidRPr="00E531FA" w:rsidRDefault="00234B18" w:rsidP="00E531FA">
      <w:pPr>
        <w:spacing w:before="100" w:beforeAutospacing="1" w:after="100" w:afterAutospacing="1" w:line="240" w:lineRule="auto"/>
        <w:ind w:left="480" w:hangingChars="200" w:hanging="480"/>
        <w:rPr>
          <w:rFonts w:ascii="Times New Roman" w:hAnsi="Times New Roman" w:cs="Times New Roman"/>
          <w:sz w:val="24"/>
          <w:szCs w:val="24"/>
        </w:rPr>
      </w:pPr>
      <w:r w:rsidRPr="00E531FA">
        <w:rPr>
          <w:rFonts w:ascii="Times New Roman" w:hAnsi="Times New Roman" w:cs="Times New Roman"/>
          <w:sz w:val="24"/>
          <w:szCs w:val="24"/>
        </w:rPr>
        <w:t xml:space="preserve">Wilson, S. J., &amp; Lipsey, M. W. (2007). School-based interventions for aggressive and disruptive behavior: Update of a meta-analysis. </w:t>
      </w:r>
      <w:r w:rsidRPr="00E531FA">
        <w:rPr>
          <w:rStyle w:val="a9"/>
          <w:rFonts w:ascii="Times New Roman" w:hAnsi="Times New Roman" w:cs="Times New Roman"/>
          <w:sz w:val="24"/>
          <w:szCs w:val="24"/>
        </w:rPr>
        <w:t>American Journal of Preventive Medicine, 33</w:t>
      </w:r>
      <w:r w:rsidRPr="00E531FA">
        <w:rPr>
          <w:rFonts w:ascii="Times New Roman" w:hAnsi="Times New Roman" w:cs="Times New Roman"/>
          <w:sz w:val="24"/>
          <w:szCs w:val="24"/>
        </w:rPr>
        <w:t>(2S), S130-S143.</w:t>
      </w:r>
    </w:p>
    <w:p w14:paraId="4B30F784" w14:textId="77777777" w:rsidR="00E531FA" w:rsidRPr="00E531FA" w:rsidRDefault="00E531FA" w:rsidP="00E531FA">
      <w:pPr>
        <w:spacing w:before="100" w:beforeAutospacing="1" w:after="100" w:afterAutospacing="1" w:line="240" w:lineRule="auto"/>
        <w:ind w:left="480" w:hangingChars="200" w:hanging="480"/>
        <w:rPr>
          <w:rFonts w:ascii="Times New Roman" w:hAnsi="Times New Roman" w:cs="Times New Roman"/>
          <w:sz w:val="24"/>
          <w:szCs w:val="24"/>
        </w:rPr>
      </w:pPr>
      <w:r w:rsidRPr="00E531FA">
        <w:rPr>
          <w:rFonts w:ascii="Times New Roman" w:hAnsi="Times New Roman" w:cs="Times New Roman"/>
          <w:sz w:val="24"/>
          <w:szCs w:val="24"/>
        </w:rPr>
        <w:t xml:space="preserve">World Health Organization. (2018). </w:t>
      </w:r>
      <w:r w:rsidRPr="00E531FA">
        <w:rPr>
          <w:rStyle w:val="a9"/>
          <w:rFonts w:ascii="Times New Roman" w:hAnsi="Times New Roman" w:cs="Times New Roman"/>
          <w:sz w:val="24"/>
          <w:szCs w:val="24"/>
        </w:rPr>
        <w:t>Global status report on alcohol and health</w:t>
      </w:r>
      <w:r w:rsidRPr="00E531FA">
        <w:rPr>
          <w:rFonts w:ascii="Times New Roman" w:hAnsi="Times New Roman" w:cs="Times New Roman"/>
          <w:sz w:val="24"/>
          <w:szCs w:val="24"/>
        </w:rPr>
        <w:t xml:space="preserve">. Retrieved from </w:t>
      </w:r>
      <w:hyperlink r:id="rId7" w:tgtFrame="_new" w:history="1">
        <w:r w:rsidRPr="00E531FA">
          <w:rPr>
            <w:rStyle w:val="a3"/>
            <w:rFonts w:ascii="Times New Roman" w:hAnsi="Times New Roman" w:cs="Times New Roman"/>
            <w:sz w:val="24"/>
            <w:szCs w:val="24"/>
          </w:rPr>
          <w:t>www.who.int</w:t>
        </w:r>
      </w:hyperlink>
      <w:r w:rsidRPr="00E531FA">
        <w:rPr>
          <w:rFonts w:ascii="Times New Roman" w:hAnsi="Times New Roman" w:cs="Times New Roman"/>
          <w:sz w:val="24"/>
          <w:szCs w:val="24"/>
        </w:rPr>
        <w:t>.</w:t>
      </w:r>
    </w:p>
    <w:sectPr w:rsidR="00E531FA" w:rsidRPr="00E531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81B48"/>
    <w:multiLevelType w:val="multilevel"/>
    <w:tmpl w:val="AFEA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B0CAC"/>
    <w:multiLevelType w:val="hybridMultilevel"/>
    <w:tmpl w:val="AB4C1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7D7A45"/>
    <w:multiLevelType w:val="multilevel"/>
    <w:tmpl w:val="07023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B22A94"/>
    <w:multiLevelType w:val="multilevel"/>
    <w:tmpl w:val="4FDA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5A7132"/>
    <w:multiLevelType w:val="multilevel"/>
    <w:tmpl w:val="9F528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5557278">
    <w:abstractNumId w:val="3"/>
  </w:num>
  <w:num w:numId="2" w16cid:durableId="1022896489">
    <w:abstractNumId w:val="0"/>
  </w:num>
  <w:num w:numId="3" w16cid:durableId="522521582">
    <w:abstractNumId w:val="1"/>
  </w:num>
  <w:num w:numId="4" w16cid:durableId="744033834">
    <w:abstractNumId w:val="4"/>
  </w:num>
  <w:num w:numId="5" w16cid:durableId="17982532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E0NjOxtLAwMTc2NDVQ0lEKTi0uzszPAykwqgUAHmlRkiwAAAA="/>
  </w:docVars>
  <w:rsids>
    <w:rsidRoot w:val="005E0CB8"/>
    <w:rsid w:val="000B0242"/>
    <w:rsid w:val="00190819"/>
    <w:rsid w:val="00234B18"/>
    <w:rsid w:val="003168DD"/>
    <w:rsid w:val="00457AB9"/>
    <w:rsid w:val="005A5F97"/>
    <w:rsid w:val="005E0CB8"/>
    <w:rsid w:val="0092573C"/>
    <w:rsid w:val="009A6429"/>
    <w:rsid w:val="00CA6FEF"/>
    <w:rsid w:val="00CE0266"/>
    <w:rsid w:val="00CF37C3"/>
    <w:rsid w:val="00D4339B"/>
    <w:rsid w:val="00E456A6"/>
    <w:rsid w:val="00E531FA"/>
    <w:rsid w:val="00F10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187C"/>
  <w15:chartTrackingRefBased/>
  <w15:docId w15:val="{E1089DEF-E134-48D9-B1EE-7D9E321FB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5E0C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5E0CB8"/>
    <w:rPr>
      <w:rFonts w:ascii="Times New Roman" w:eastAsia="Times New Roman" w:hAnsi="Times New Roman" w:cs="Times New Roman"/>
      <w:b/>
      <w:bCs/>
      <w:sz w:val="27"/>
      <w:szCs w:val="27"/>
    </w:rPr>
  </w:style>
  <w:style w:type="character" w:customStyle="1" w:styleId="mntl-sc-block-subheadingtext">
    <w:name w:val="mntl-sc-block-subheading__text"/>
    <w:basedOn w:val="a0"/>
    <w:rsid w:val="005E0CB8"/>
  </w:style>
  <w:style w:type="paragraph" w:customStyle="1" w:styleId="comp">
    <w:name w:val="comp"/>
    <w:basedOn w:val="a"/>
    <w:rsid w:val="005E0CB8"/>
    <w:pPr>
      <w:spacing w:before="100" w:beforeAutospacing="1" w:after="100" w:afterAutospacing="1" w:line="240" w:lineRule="auto"/>
    </w:pPr>
    <w:rPr>
      <w:rFonts w:ascii="Times New Roman" w:eastAsia="Times New Roman" w:hAnsi="Times New Roman" w:cs="Times New Roman"/>
      <w:sz w:val="24"/>
      <w:szCs w:val="24"/>
    </w:rPr>
  </w:style>
  <w:style w:type="character" w:styleId="a3">
    <w:name w:val="Hyperlink"/>
    <w:basedOn w:val="a0"/>
    <w:uiPriority w:val="99"/>
    <w:semiHidden/>
    <w:unhideWhenUsed/>
    <w:rsid w:val="005E0CB8"/>
    <w:rPr>
      <w:color w:val="0000FF"/>
      <w:u w:val="single"/>
    </w:rPr>
  </w:style>
  <w:style w:type="paragraph" w:styleId="a4">
    <w:name w:val="List Paragraph"/>
    <w:basedOn w:val="a"/>
    <w:uiPriority w:val="34"/>
    <w:qFormat/>
    <w:rsid w:val="005E0CB8"/>
    <w:pPr>
      <w:ind w:left="720"/>
      <w:contextualSpacing/>
    </w:pPr>
  </w:style>
  <w:style w:type="paragraph" w:styleId="a5">
    <w:name w:val="Date"/>
    <w:basedOn w:val="a"/>
    <w:next w:val="a"/>
    <w:link w:val="a6"/>
    <w:uiPriority w:val="99"/>
    <w:semiHidden/>
    <w:unhideWhenUsed/>
    <w:rsid w:val="005A5F97"/>
    <w:pPr>
      <w:ind w:leftChars="2500" w:left="100"/>
    </w:pPr>
  </w:style>
  <w:style w:type="character" w:customStyle="1" w:styleId="a6">
    <w:name w:val="日期 字符"/>
    <w:basedOn w:val="a0"/>
    <w:link w:val="a5"/>
    <w:uiPriority w:val="99"/>
    <w:semiHidden/>
    <w:rsid w:val="005A5F97"/>
  </w:style>
  <w:style w:type="paragraph" w:styleId="a7">
    <w:name w:val="Normal (Web)"/>
    <w:basedOn w:val="a"/>
    <w:uiPriority w:val="99"/>
    <w:semiHidden/>
    <w:unhideWhenUsed/>
    <w:rsid w:val="00234B18"/>
    <w:pPr>
      <w:spacing w:before="100" w:beforeAutospacing="1" w:after="100" w:afterAutospacing="1" w:line="240" w:lineRule="auto"/>
    </w:pPr>
    <w:rPr>
      <w:rFonts w:ascii="SimSun" w:eastAsia="SimSun" w:hAnsi="SimSun" w:cs="SimSun"/>
      <w:sz w:val="24"/>
      <w:szCs w:val="24"/>
      <w:lang w:eastAsia="zh-CN"/>
    </w:rPr>
  </w:style>
  <w:style w:type="character" w:styleId="a8">
    <w:name w:val="Strong"/>
    <w:basedOn w:val="a0"/>
    <w:uiPriority w:val="22"/>
    <w:qFormat/>
    <w:rsid w:val="00234B18"/>
    <w:rPr>
      <w:b/>
      <w:bCs/>
    </w:rPr>
  </w:style>
  <w:style w:type="character" w:styleId="a9">
    <w:name w:val="Emphasis"/>
    <w:basedOn w:val="a0"/>
    <w:uiPriority w:val="20"/>
    <w:qFormat/>
    <w:rsid w:val="00234B1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715350">
      <w:bodyDiv w:val="1"/>
      <w:marLeft w:val="0"/>
      <w:marRight w:val="0"/>
      <w:marTop w:val="0"/>
      <w:marBottom w:val="0"/>
      <w:divBdr>
        <w:top w:val="none" w:sz="0" w:space="0" w:color="auto"/>
        <w:left w:val="none" w:sz="0" w:space="0" w:color="auto"/>
        <w:bottom w:val="none" w:sz="0" w:space="0" w:color="auto"/>
        <w:right w:val="none" w:sz="0" w:space="0" w:color="auto"/>
      </w:divBdr>
    </w:div>
    <w:div w:id="627472782">
      <w:bodyDiv w:val="1"/>
      <w:marLeft w:val="0"/>
      <w:marRight w:val="0"/>
      <w:marTop w:val="0"/>
      <w:marBottom w:val="0"/>
      <w:divBdr>
        <w:top w:val="none" w:sz="0" w:space="0" w:color="auto"/>
        <w:left w:val="none" w:sz="0" w:space="0" w:color="auto"/>
        <w:bottom w:val="none" w:sz="0" w:space="0" w:color="auto"/>
        <w:right w:val="none" w:sz="0" w:space="0" w:color="auto"/>
      </w:divBdr>
    </w:div>
    <w:div w:id="1332097459">
      <w:bodyDiv w:val="1"/>
      <w:marLeft w:val="0"/>
      <w:marRight w:val="0"/>
      <w:marTop w:val="0"/>
      <w:marBottom w:val="0"/>
      <w:divBdr>
        <w:top w:val="none" w:sz="0" w:space="0" w:color="auto"/>
        <w:left w:val="none" w:sz="0" w:space="0" w:color="auto"/>
        <w:bottom w:val="none" w:sz="0" w:space="0" w:color="auto"/>
        <w:right w:val="none" w:sz="0" w:space="0" w:color="auto"/>
      </w:divBdr>
    </w:div>
    <w:div w:id="1494758545">
      <w:bodyDiv w:val="1"/>
      <w:marLeft w:val="0"/>
      <w:marRight w:val="0"/>
      <w:marTop w:val="0"/>
      <w:marBottom w:val="0"/>
      <w:divBdr>
        <w:top w:val="none" w:sz="0" w:space="0" w:color="auto"/>
        <w:left w:val="none" w:sz="0" w:space="0" w:color="auto"/>
        <w:bottom w:val="none" w:sz="0" w:space="0" w:color="auto"/>
        <w:right w:val="none" w:sz="0" w:space="0" w:color="auto"/>
      </w:divBdr>
    </w:div>
    <w:div w:id="198161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who.in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dc.gov/"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1EB73B-FAA5-4E9C-B2C6-1CD41FEB5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4</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Li Echiverri</dc:creator>
  <cp:keywords/>
  <dc:description/>
  <cp:lastModifiedBy>Yvanna Gong</cp:lastModifiedBy>
  <cp:revision>8</cp:revision>
  <dcterms:created xsi:type="dcterms:W3CDTF">2021-09-01T03:05:00Z</dcterms:created>
  <dcterms:modified xsi:type="dcterms:W3CDTF">2026-09-17T19:57:00Z</dcterms:modified>
</cp:coreProperties>
</file>