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3398896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 OK sauf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Surface de coupe = 800m² / heure</w:t>
      </w:r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2A,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stall tork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 hour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  <w:bookmarkStart w:id="0" w:name="_GoBack"/>
      <w:bookmarkEnd w:id="0"/>
    </w:p>
    <w:p w14:paraId="2D61EC9E" w14:textId="228AD267" w:rsidR="00CD5214" w:rsidRPr="00CD5214" w:rsidRDefault="00CD5214" w:rsidP="00CD52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D5214">
        <w:rPr>
          <w:rFonts w:ascii="Arial" w:eastAsia="Times New Roman" w:hAnsi="Arial" w:cs="Arial"/>
          <w:sz w:val="24"/>
          <w:szCs w:val="24"/>
          <w:lang w:val="en-US" w:eastAsia="fr-FR"/>
        </w:rPr>
        <w:t>https://www.sunearthtools.com/fr/tools/distance.php</w:t>
      </w: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1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1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pt on encoderA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), check encoderB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47772081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ased on I2C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1B2C063A" w:rsidR="00AF3980" w:rsidRDefault="00E21A75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lastRenderedPageBreak/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2"/>
      <w:bookmarkEnd w:id="3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3FF520C5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Bearing cible</w:t>
      </w:r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645E28CA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1, The speed and torque are adjustable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2, The gearbox can match other DC motors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5, This gear motor can be equipped with encoders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8AE6D" w14:textId="77777777" w:rsidR="00C051A1" w:rsidRDefault="00C051A1" w:rsidP="002B73DC">
      <w:pPr>
        <w:spacing w:after="0" w:line="240" w:lineRule="auto"/>
      </w:pPr>
      <w:r>
        <w:separator/>
      </w:r>
    </w:p>
  </w:endnote>
  <w:endnote w:type="continuationSeparator" w:id="0">
    <w:p w14:paraId="68472717" w14:textId="77777777" w:rsidR="00C051A1" w:rsidRDefault="00C051A1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C962C" w14:textId="77777777" w:rsidR="00C051A1" w:rsidRDefault="00C051A1" w:rsidP="002B73DC">
      <w:pPr>
        <w:spacing w:after="0" w:line="240" w:lineRule="auto"/>
      </w:pPr>
      <w:r>
        <w:separator/>
      </w:r>
    </w:p>
  </w:footnote>
  <w:footnote w:type="continuationSeparator" w:id="0">
    <w:p w14:paraId="27EFBA7A" w14:textId="77777777" w:rsidR="00C051A1" w:rsidRDefault="00C051A1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F0C26"/>
    <w:rsid w:val="00100BDA"/>
    <w:rsid w:val="001219BB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7795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21548"/>
    <w:rsid w:val="00725126"/>
    <w:rsid w:val="0072728E"/>
    <w:rsid w:val="00750542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1520"/>
    <w:rsid w:val="00BD209B"/>
    <w:rsid w:val="00BE6DB0"/>
    <w:rsid w:val="00BF2C42"/>
    <w:rsid w:val="00C046C9"/>
    <w:rsid w:val="00C051A1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9BA"/>
    <w:rsid w:val="00D436C8"/>
    <w:rsid w:val="00D460EF"/>
    <w:rsid w:val="00D610C7"/>
    <w:rsid w:val="00D80A5A"/>
    <w:rsid w:val="00D97091"/>
    <w:rsid w:val="00DA461A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13</Pages>
  <Words>1873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199</cp:revision>
  <dcterms:created xsi:type="dcterms:W3CDTF">2018-09-18T12:28:00Z</dcterms:created>
  <dcterms:modified xsi:type="dcterms:W3CDTF">2018-10-22T13:45:00Z</dcterms:modified>
</cp:coreProperties>
</file>