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media/rId26.png" ContentType="image/png"/>
  <Override PartName="/word/media/rId25.png" ContentType="image/png"/>
  <Override PartName="/word/media/image1.png" ContentType="image/png"/>
  <Default Extension="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  <w:jc w:val="center"/>
      </w:pPr>
      <w:bookmarkStart w:id="20" w:name="X0762f0f9ae2ee71634b5a2854fbc4c9268f8c10"/>
      <w:r>
        <w:t xml:space="preserve">Desenvolvimento e Validação de um Programa Computacional Aberto para Análise de Estabilidade e Dimensionamento de Estruturas de Solo Reforçado</w:t>
      </w:r>
      <w:bookmarkEnd w:id="20"/>
    </w:p>
    <w:p>
      <w:pPr>
        <w:pStyle w:val="BodyText"/>
        <w:jc w:val="center"/>
      </w:pPr>
      <w:r>
        <w:rPr>
          <w:b/>
        </w:rPr>
        <w:t xml:space="preserve">Yves Gabriel Queiroz de Sousa¹, José Antonio Schiavon²</w:t>
      </w:r>
    </w:p>
    <w:p>
      <w:pPr>
        <w:pStyle w:val="BodyText"/>
        <w:jc w:val="center"/>
      </w:pPr>
      <w:r>
        <w:t xml:space="preserve">¹ Instituto Tecnológico de Aeronáutica (ITA), bolsista PIBIC — yves.sousa.8821@ga.ita.br · ² Instituto Tecnológico de Aeronáutica (ITA), orientador</w:t>
      </w:r>
    </w:p>
    <w:p>
      <w:pPr>
        <w:sectPr>
          <w:headerReference r:id="rId9" w:type="default"/>
          <w:headerReference r:id="rId10" w:type="first"/>
          <w:headerReference r:id="rId11" w:type="even"/>
          <w:footerReference r:id="rId14" w:type="default"/>
          <w:footerReference r:id="rId13" w:type="first"/>
          <w:footerReference r:id="rId12" w:type="even"/>
          <w:type w:val="continuous"/>
          <w:pgSz w:h="15840" w:w="12240" w:orient="portrait"/>
          <w:pgMar w:bottom="1440" w:top="1440" w:left="1000" w:right="1000" w:header="720" w:footer="720" w:gutter="0"/>
          <w:pgNumType w:start="1"/>
        </w:sectPr>
      </w:pPr>
    </w:p>
    <w:p>
      <w:pPr>
        <w:pStyle w:val="Heading2"/>
      </w:pPr>
      <w:bookmarkStart w:id="21" w:name="resumo"/>
      <w:r>
        <w:t xml:space="preserve">Resumo</w:t>
      </w:r>
      <w:bookmarkEnd w:id="21"/>
    </w:p>
    <w:p>
      <w:pPr>
        <w:pStyle w:val="FirstParagraph"/>
      </w:pPr>
      <w:r>
        <w:t xml:space="preserve">A análise de estabilidade de taludes e o dimensionamento de contenções, usualmente apoiados em pacotes comerciais proprietários ou em programas legados que não executam em sistemas atuais, motivam este trabalho. Apresenta-se o desenvolvimento e a validação do SoloRef, programa aberto e multiplataforma que reimplementa, em Python, um programa legado escrito para Windows de 16/32 bits. O programa reúne os métodos de equilíbrio-limite de cunha plana (Coulomb, Rankine e dois blocos), a cunha circular de Bishop, o dimensionamento com geossintéticos e as verificações de estabilidade externa. A separação entre cálculo e interface permitiu validação automatizada: os casos de fórmula fechada apresentaram erro inferior a 0,2%; o método de Bishop reproduziu um exemplo de talude de Wesley (2009) com erro de 1,5% no fator de segurança; e a verificação externa reproduziu um muro reforçado com concordância de 1%. A contribuição deste trabalho é disponibilizar uma ferramenta aberta, didática e validada, com 125 testes automatizados que garantem a reprodutibilidade. Conclui-se que ela é adequada para uso didático e para análises preliminares de projeto.</w:t>
      </w:r>
    </w:p>
    <w:p>
      <w:pPr>
        <w:pStyle w:val="BodyText"/>
      </w:pPr>
      <w:r>
        <w:rPr>
          <w:b/>
        </w:rPr>
        <w:t xml:space="preserve">Palavras-chave:</w:t>
      </w:r>
      <w:r>
        <w:t xml:space="preserve"> </w:t>
      </w:r>
      <w:r>
        <w:t xml:space="preserve">estabilidade de taludes. solo reforçado. equilíbrio-limite. geossintéticos.</w:t>
      </w:r>
    </w:p>
    <w:p>
      <w:pPr>
        <w:pStyle w:val="Heading2"/>
      </w:pPr>
      <w:bookmarkStart w:id="22" w:name="introdução"/>
      <w:r>
        <w:t xml:space="preserve">1. Introdução</w:t>
      </w:r>
      <w:bookmarkEnd w:id="22"/>
    </w:p>
    <w:p>
      <w:pPr>
        <w:pStyle w:val="FirstParagraph"/>
      </w:pPr>
      <w:r>
        <w:t xml:space="preserve">A análise de estabilidade de taludes e o projeto de contenções são atividades críticas da engenharia geotécnica, pois rupturas podem causar prejuízos econômicos e riscos à vida. Os procedimentos consolidados baseiam-se no equilíbrio-limite, com destaque para os métodos de cunha plana — Coulomb, Rankine e a cunha bilinear de dois blocos — e para a superfície circular do método simplificado de Bishop (BISHOP, 1955; DAS, 2014). O reforço de solos com geossintéticos ampliou as soluções para muros e taludes íngremes, exigindo procedimentos específicos de dimensionamento (KOERNER, 2012). Computacionalmente, esses métodos são oferecidos por pacotes comerciais robustos, como o SLOPE/W e o Slide (ROCSCIENCE, 2023), amplamente usados na prática, porém proprietários e pouco transparentes quanto aos passos intermediários, o que limita seu uso didático.</w:t>
      </w:r>
    </w:p>
    <w:p>
      <w:pPr>
        <w:pStyle w:val="BodyText"/>
      </w:pPr>
      <w:r>
        <w:t xml:space="preserve">Este trabalho baseou-se nas formulações de equilíbrio-limite de Das (2014) e Wesley (2009) — que fornece exemplos numéricos resolvidos úteis para verificação — e nas diretrizes de reforço de Koerner (2012). A contribuição deste trabalho é disponibilizar uma ferramenta aberta, multiplataforma e validada contra a literatura, que integra num mesmo ambiente os métodos de cunha plana e circular, o dimensionamento com geossintéticos e a verificação de estabilidade externa, com testes automatizados que asseguram a reprodutibilidade. O objetivo é oferecer uma ferramenta acessível e didática para a análise comparativa desses métodos e para análises preliminares de projeto.</w:t>
      </w:r>
    </w:p>
    <w:p>
      <w:pPr>
        <w:pStyle w:val="Heading2"/>
      </w:pPr>
      <w:bookmarkStart w:id="23" w:name="metodologia"/>
      <w:r>
        <w:t xml:space="preserve">2. Metodologia</w:t>
      </w:r>
      <w:bookmarkEnd w:id="23"/>
    </w:p>
    <w:p>
      <w:pPr>
        <w:pStyle w:val="FirstParagraph"/>
      </w:pPr>
      <w:r>
        <w:t xml:space="preserve">Foram implementados seis procedimentos: os empuxos ativos de Coulomb, Rankine e dois blocos (cunha bilinear); o fator de segurança de Bishop simplificado (cunha circular, com iteração e busca da superfície crítica); o dimensionamento interno com geossintéticos (equilíbrio-limite com fatores de redução de resistência); e as verificações externas de deslizamento, tombamento e capacidade de carga por fatores de Vésic. Para o empuxo ativo de Rankine, o coeficiente é dado pela Equação 1: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a</m:t>
              </m:r>
            </m:sub>
          </m:sSub>
          <m:r>
            <m:t>=</m:t>
          </m:r>
          <m:sSup>
            <m:e>
              <m:r>
                <m:rPr>
                  <m:nor/>
                  <m:sty m:val="p"/>
                </m:rPr>
                <m:t>tan</m:t>
              </m:r>
            </m:e>
            <m:sup>
              <m:r>
                <m:t>2</m:t>
              </m:r>
            </m:sup>
          </m:sSup>
          <m:d>
            <m:dPr>
              <m:begChr m:val="("/>
              <m:endChr m:val=")"/>
              <m:grow/>
            </m:dPr>
            <m:e>
              <m:sSup>
                <m:e>
                  <m:r>
                    <m:t>45</m:t>
                  </m:r>
                </m:e>
                <m:sup>
                  <m:r>
                    <m:t>∘</m:t>
                  </m:r>
                </m:sup>
              </m:sSup>
              <m:r>
                <m:t>−</m:t>
              </m:r>
              <m:f>
                <m:fPr>
                  <m:type m:val="bar"/>
                </m:fPr>
                <m:num>
                  <m:r>
                    <m:t>φ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  </m:t>
          </m:r>
          <m:r>
            <m:t>(</m:t>
          </m:r>
          <m:r>
            <m:t>1</m:t>
          </m:r>
          <m:r>
            <m:t>)</m:t>
          </m:r>
        </m:oMath>
      </m:oMathPara>
    </w:p>
    <w:p>
      <w:pPr>
        <w:pStyle w:val="FirstParagraph"/>
      </w:pPr>
      <w:r>
        <w:t xml:space="preserve">em que</w:t>
      </w:r>
      <w: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é o coeficiente de empuxo ativo e</w:t>
      </w:r>
      <w:r>
        <w:t xml:space="preserve"> </w:t>
      </w:r>
      <m:oMath>
        <m:r>
          <m:t>φ</m:t>
        </m:r>
      </m:oMath>
      <w:r>
        <w:t xml:space="preserve"> </w:t>
      </w:r>
      <w:r>
        <w:t xml:space="preserve">o ângulo de atrito interno. O empuxo resulta de</w:t>
      </w:r>
      <w:r>
        <w:t xml:space="preserve"> </w:t>
      </w:r>
      <m:oMath>
        <m:sSub>
          <m:e>
            <m:r>
              <m:t>E</m:t>
            </m:r>
          </m:e>
          <m:sub>
            <m:r>
              <m:t>a</m:t>
            </m:r>
          </m:sub>
        </m:sSub>
        <m: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t>K</m:t>
            </m:r>
          </m:e>
          <m:sub>
            <m:r>
              <m:t>a</m:t>
            </m:r>
          </m:sub>
        </m:sSub>
        <m:r>
          <m:t>γ</m:t>
        </m:r>
        <m:sSup>
          <m:e>
            <m:r>
              <m:t>H</m:t>
            </m:r>
          </m:e>
          <m:sup>
            <m:r>
              <m:t>2</m:t>
            </m:r>
          </m:sup>
        </m:sSup>
        <m:r>
          <m:t>+</m:t>
        </m:r>
        <m:sSub>
          <m:e>
            <m:r>
              <m:t>K</m:t>
            </m:r>
          </m:e>
          <m:sub>
            <m:r>
              <m:t>a</m:t>
            </m:r>
          </m:sub>
        </m:sSub>
        <m:r>
          <m:t>q</m:t>
        </m:r>
        <m:r>
          <m:t>H</m:t>
        </m:r>
        <m:r>
          <m:t>−</m:t>
        </m:r>
        <m:r>
          <m:t>2</m:t>
        </m:r>
        <m:r>
          <m:t>c</m:t>
        </m:r>
        <m:r>
          <m:t>H</m:t>
        </m:r>
        <m:rad>
          <m:radPr>
            <m:degHide m:val="1"/>
          </m:radPr>
          <m:deg/>
          <m:e>
            <m:sSub>
              <m:e>
                <m:r>
                  <m:t>K</m:t>
                </m:r>
              </m:e>
              <m:sub>
                <m:r>
                  <m:t>a</m:t>
                </m:r>
              </m:sub>
            </m:sSub>
          </m:e>
        </m:rad>
      </m:oMath>
      <w:r>
        <w:t xml:space="preserve">, com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o peso específico,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altura,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 sobrecarga 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coesão.</w:t>
      </w:r>
    </w:p>
    <w:p>
      <w:pPr>
        <w:pStyle w:val="BodyText"/>
      </w:pPr>
      <w:r>
        <w:t xml:space="preserve">O programa foi desenvolvido em Python, com PySide6 (interface) e NumPy/SciPy (cálculo). Adotou-se separação estrita entre a camada de cálculo (Python puro) e a interface, o que permite validar os métodos por scripts. A interface reúne, em painel único, a entrada de dados, o desenho da estrutura com a superfície de ruptura calculada e um quadro comparativo entre métodos. A validação confrontou as saídas com valores publicados: casos de fórmula fechada, o caso-limite em que Coulomb (atrito nulo, parede vertical) se reduz a Rankine, e exemplos resolvidos de Bishop e de estabilidade externa (WESLEY, 2009; USACE, 1989).</w:t>
      </w:r>
    </w:p>
    <w:p>
      <w:pPr>
        <w:pStyle w:val="Heading2"/>
      </w:pPr>
      <w:bookmarkStart w:id="24" w:name="resultados-e-discussão"/>
      <w:r>
        <w:t xml:space="preserve">3. Resultados e Discussão</w:t>
      </w:r>
      <w:bookmarkEnd w:id="24"/>
    </w:p>
    <w:p>
      <w:pPr>
        <w:pStyle w:val="FirstParagraph"/>
      </w:pPr>
      <w:r>
        <w:t xml:space="preserve">A Tabela 1 resume a validação. Os casos de fórmula fechada apresentaram erro inferior a 0,2%, e a identidade entre Coulomb e Rankine foi reproduzida ao nível da precisão numérica da máquina. Nos métodos com busca da superfície crítica (Bishop e estabilidade externa), a concordância com Wesley (2009) ficou entre 1% e 1,5%, compatível com diferenças de discretização. O conjunto foi consolidado em 125 testes automatizados, evitando regressões nos resultados.</w:t>
      </w:r>
    </w:p>
    <w:p>
      <w:pPr>
        <w:pStyle w:val="BodyText"/>
      </w:pPr>
      <w:r>
        <w:drawing>
          <wp:inline>
            <wp:extent cx="2951999" cy="976854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tab1_soloref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1999" cy="9768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</w:rPr>
        <w:t xml:space="preserve">Tab. 1</w:t>
      </w:r>
      <w:r>
        <w:t xml:space="preserve"> </w:t>
      </w:r>
      <w:r>
        <w:t xml:space="preserve">– Validação do SoloRef contra a literatura (Ea em kN/m; Ka e FS adimensionais).</w:t>
      </w:r>
    </w:p>
    <w:p>
      <w:pPr>
        <w:pStyle w:val="BodyText"/>
      </w:pPr>
      <w:r>
        <w:t xml:space="preserve">A Figura 1 ilustra o uso em análises paramétricas. Em (a), o empuxo ativo de Rankine e Coulomb decresce com φ; o de Coulomb é menor porque o atrito solo-muro (</w:t>
      </w:r>
      <m:oMath>
        <m:r>
          <m:t>δ</m:t>
        </m:r>
        <m:r>
          <m:t>=</m:t>
        </m:r>
        <m:r>
          <m:t>2</m:t>
        </m:r>
        <m:r>
          <m:t>φ</m:t>
        </m:r>
        <m:r>
          <m:t>/</m:t>
        </m:r>
        <m:r>
          <m:t>3</m:t>
        </m:r>
      </m:oMath>
      <w:r>
        <w:t xml:space="preserve">) mobiliza uma parcela vertical que alivia a estrutura. Em (b), o fator de segurança de Bishop diminui com a inclinação do talude, cruzando o valor usual de projeto (</w:t>
      </w:r>
      <m:oMath>
        <m:r>
          <m:t>F</m:t>
        </m:r>
        <m:r>
          <m:t>S</m:t>
        </m:r>
        <m:r>
          <m:t>=</m:t>
        </m:r>
        <m:r>
          <m:t>1</m:t>
        </m:r>
        <m:r>
          <m:t>,</m:t>
        </m:r>
        <m:r>
          <m:t>5</m:t>
        </m:r>
      </m:oMath>
      <w:r>
        <w:t xml:space="preserve">) próximo de</w:t>
      </w:r>
      <w:r>
        <w:t xml:space="preserve"> </w:t>
      </w:r>
      <m:oMath>
        <m:r>
          <m:t>β</m:t>
        </m:r>
        <m:r>
          <m:t>=</m:t>
        </m:r>
        <m:sSup>
          <m:e>
            <m:r>
              <m:t>38</m:t>
            </m:r>
          </m:e>
          <m:sup>
            <m:r>
              <m:t>∘</m:t>
            </m:r>
          </m:sup>
        </m:sSup>
      </m:oMath>
      <w:r>
        <w:t xml:space="preserve"> </w:t>
      </w:r>
      <w:r>
        <w:t xml:space="preserve">para a geometria analisada. Os resultados evidenciam a capacidade da ferramenta de apoiar estudos comparativos e de sensibilidade.</w:t>
      </w:r>
    </w:p>
    <w:p>
      <w:pPr>
        <w:pStyle w:val="BodyText"/>
      </w:pPr>
      <w:r>
        <w:drawing>
          <wp:inline>
            <wp:extent cx="2951999" cy="995903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fig1_soloref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1999" cy="9959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</w:rPr>
        <w:t xml:space="preserve">Fig. 1</w:t>
      </w:r>
      <w:r>
        <w:t xml:space="preserve"> </w:t>
      </w:r>
      <w:r>
        <w:t xml:space="preserve">– Análises com o SoloRef: (a) empuxo ativo em função de φ; (b) fator de segurança de Bishop em função da inclinação do talude.</w:t>
      </w:r>
    </w:p>
    <w:p>
      <w:pPr>
        <w:pStyle w:val="Heading2"/>
      </w:pPr>
      <w:bookmarkStart w:id="27" w:name="conclusões"/>
      <w:r>
        <w:t xml:space="preserve">4. Conclusões</w:t>
      </w:r>
      <w:bookmarkEnd w:id="27"/>
    </w:p>
    <w:p>
      <w:pPr>
        <w:pStyle w:val="FirstParagraph"/>
      </w:pPr>
      <w:r>
        <w:t xml:space="preserve">Desenvolveu-se e validou-se o SoloRef, programa aberto e multiplataforma que integra os métodos de cunha plana (Coulomb, Rankine e dois blocos), a cunha circular de Bishop, o dimensionamento com geossintéticos e a verificação de estabilidade externa. A concordância com a literatura — erro inferior a 0,2% nos casos de fórmula fechada e entre 1% e 1,5% nos métodos com busca de superfície crítica — indica que a implementação reproduz fielmente as formulações. A separação entre cálculo e interface, com 125 testes automatizados, confere reprodutibilidade e facilita a extensão da ferramenta.</w:t>
      </w:r>
    </w:p>
    <w:p>
      <w:pPr>
        <w:pStyle w:val="BodyText"/>
      </w:pPr>
      <w:r>
        <w:t xml:space="preserve">Como trabalhos futuros, recomenda-se: (i) incorporar o nível d’água e a poropressão, frequentemente determinantes na estabilidade; (ii) implementar a verificação de estabilidade global (superfície profunda sob o maciço reforçado); (iii) gerar automaticamente o memorial de cálculo em PDF; e (iv) validar o programa contra casos instrumentados de campo e pacotes comerciais consagrados.</w:t>
      </w:r>
    </w:p>
    <w:p>
      <w:pPr>
        <w:pStyle w:val="Heading2"/>
      </w:pPr>
      <w:bookmarkStart w:id="28" w:name="agradecimentos"/>
      <w:r>
        <w:t xml:space="preserve">5. Agradecimentos</w:t>
      </w:r>
      <w:bookmarkEnd w:id="28"/>
    </w:p>
    <w:p>
      <w:pPr>
        <w:pStyle w:val="FirstParagraph"/>
      </w:pPr>
      <w:r>
        <w:t xml:space="preserve">Os autores agradecem ao CNPq pelo apoio por meio de bolsa PIBIC e ao Instituto Tecnológico de Aeronáutica.</w:t>
      </w:r>
    </w:p>
    <w:p>
      <w:pPr>
        <w:pStyle w:val="Heading2"/>
      </w:pPr>
      <w:bookmarkStart w:id="29" w:name="referências"/>
      <w:r>
        <w:t xml:space="preserve">Referências</w:t>
      </w:r>
      <w:bookmarkEnd w:id="29"/>
    </w:p>
    <w:p>
      <w:pPr>
        <w:pStyle w:val="FirstParagraph"/>
      </w:pPr>
      <w:r>
        <w:t xml:space="preserve">BISHOP, A. W. The use of the slip circle in the stability analysis of slopes.</w:t>
      </w:r>
      <w:r>
        <w:t xml:space="preserve"> </w:t>
      </w:r>
      <w:r>
        <w:rPr>
          <w:i/>
        </w:rPr>
        <w:t xml:space="preserve">Géotechnique</w:t>
      </w:r>
      <w:r>
        <w:t xml:space="preserve">, v. 5, n. 1, p. 7–17, 1955.</w:t>
      </w:r>
    </w:p>
    <w:p>
      <w:pPr>
        <w:pStyle w:val="BodyText"/>
      </w:pPr>
      <w:r>
        <w:t xml:space="preserve">DAS, B. M.</w:t>
      </w:r>
      <w:r>
        <w:t xml:space="preserve"> </w:t>
      </w:r>
      <w:r>
        <w:rPr>
          <w:i/>
        </w:rPr>
        <w:t xml:space="preserve">Fundamentos de engenharia geotécnica</w:t>
      </w:r>
      <w:r>
        <w:t xml:space="preserve">. 7. ed. São Paulo: Cengage Learning, 2014.</w:t>
      </w:r>
    </w:p>
    <w:p>
      <w:pPr>
        <w:pStyle w:val="BodyText"/>
      </w:pPr>
      <w:r>
        <w:t xml:space="preserve">KOERNER, R. M.</w:t>
      </w:r>
      <w:r>
        <w:t xml:space="preserve"> </w:t>
      </w:r>
      <w:r>
        <w:rPr>
          <w:i/>
        </w:rPr>
        <w:t xml:space="preserve">Designing with geosynthetics</w:t>
      </w:r>
      <w:r>
        <w:t xml:space="preserve">. 6. ed. [S.l.]: Xlibris, 2012.</w:t>
      </w:r>
    </w:p>
    <w:p>
      <w:pPr>
        <w:pStyle w:val="BodyText"/>
      </w:pPr>
      <w:r>
        <w:t xml:space="preserve">ROCSCIENCE INC.</w:t>
      </w:r>
      <w:r>
        <w:t xml:space="preserve"> </w:t>
      </w:r>
      <w:r>
        <w:rPr>
          <w:i/>
        </w:rPr>
        <w:t xml:space="preserve">Slide2: 2D limit equilibrium slope stability analysis</w:t>
      </w:r>
      <w:r>
        <w:t xml:space="preserve">. Toronto, 2023.</w:t>
      </w:r>
    </w:p>
    <w:p>
      <w:pPr>
        <w:pStyle w:val="BodyText"/>
      </w:pPr>
      <w:r>
        <w:t xml:space="preserve">USACE.</w:t>
      </w:r>
      <w:r>
        <w:t xml:space="preserve"> </w:t>
      </w:r>
      <w:r>
        <w:rPr>
          <w:i/>
        </w:rPr>
        <w:t xml:space="preserve">EM 1110-2-2502: Retaining and flood walls</w:t>
      </w:r>
      <w:r>
        <w:t xml:space="preserve">. Washington: U.S. Army Corps of Engineers, 1989.</w:t>
      </w:r>
    </w:p>
    <w:p>
      <w:pPr>
        <w:pStyle w:val="BodyText"/>
      </w:pPr>
      <w:r>
        <w:t xml:space="preserve">WESLEY, L. D.</w:t>
      </w:r>
      <w:r>
        <w:t xml:space="preserve"> </w:t>
      </w:r>
      <w:r>
        <w:rPr>
          <w:i/>
        </w:rPr>
        <w:t xml:space="preserve">Fundamentals of soil mechanics for sedimentary and residual soils</w:t>
      </w:r>
      <w:r>
        <w:t xml:space="preserve">. Hoboken: John Wiley &amp; Sons, 2009.</w:t>
      </w:r>
    </w:p>
    <w:sectPr>
      <w:headerReference r:id="rId9" w:type="default"/>
      <w:headerReference r:id="rId10" w:type="first"/>
      <w:headerReference r:id="rId11" w:type="even"/>
      <w:footerReference r:id="rId14" w:type="default"/>
      <w:footerReference r:id="rId13" w:type="first"/>
      <w:footerReference r:id="rId12" w:type="even"/>
      <w:type w:val="continuous"/>
      <w:pgSz w:h="15840" w:w="12240" w:orient="portrait"/>
      <w:pgMar w:bottom="1440" w:top="1440" w:left="1000" w:right="1000" w:header="720" w:footer="720" w:gutter="0"/>
      <w:cols w:num="2" w:space="720" w:equalWidth="1"/>
      <w:pgNumType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Noto Sans Symbols"/>
  <w:font w:name="Cambria Math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000000" w:space="4" w:sz="4" w:val="single"/>
        <w:right w:space="0" w:sz="0" w:val="nil"/>
        <w:between w:space="0" w:sz="0" w:val="nil"/>
      </w:pBdr>
      <w:shd w:fill="auto" w:val="clear"/>
      <w:spacing w:after="280" w:before="200" w:line="276" w:lineRule="auto"/>
      <w:ind w:left="0" w:right="34" w:firstLine="0"/>
      <w:jc w:val="center"/>
      <w:rPr>
        <w:rFonts w:ascii="Times New Roman" w:cs="Times New Roman" w:eastAsia="Times New Roman" w:hAnsi="Times New Roman"/>
        <w:b w:val="1"/>
        <w:bCs w:val="1"/>
        <w:i w:val="1"/>
        <w:iCs w:val="1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bookmarkStart w:colFirst="0" w:colLast="0" w:name="_k9os6iy9ictv" w:id="0"/>
    <w:bookmarkEnd w:id="0"/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1"/>
        <w:iCs w:val="1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XXXI Encontro de Iniciação Científica do Instituto Tecnológico de Aeronáutica - ENCITA 2026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>
    <w:abstractNumId w:val="1"/>
  </w: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pt_BR"/>
      </w:rPr>
    </w:rPrDefault>
    <w:pPrDefault>
      <w:pPr>
        <w:spacing w:after="20" w:line="21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120" w:lineRule="auto"/>
    </w:pPr>
    <w:rPr>
      <w:rFonts w:ascii="Calibri" w:cs="Calibri" w:eastAsia="Calibri" w:hAnsi="Calibri"/>
      <w:b w:val="1"/>
      <w:bCs w:val="1"/>
      <w:color w:val="000000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80" w:lineRule="auto"/>
    </w:pPr>
    <w:rPr>
      <w:rFonts w:ascii="Calibri" w:cs="Calibri" w:eastAsia="Calibri" w:hAnsi="Calibri"/>
      <w:b w:val="1"/>
      <w:bCs w:val="1"/>
      <w:color w:val="000000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80" w:lineRule="auto"/>
    </w:pPr>
    <w:rPr>
      <w:rFonts w:ascii="Calibri" w:cs="Calibri" w:eastAsia="Calibri" w:hAnsi="Calibri"/>
      <w:b w:val="1"/>
      <w:bCs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80" w:lineRule="auto"/>
    </w:pPr>
    <w:rPr>
      <w:rFonts w:ascii="Calibri" w:cs="Calibri" w:eastAsia="Calibri" w:hAnsi="Calibri"/>
      <w:b w:val="1"/>
      <w:bCs w:val="1"/>
      <w:i w:val="1"/>
      <w:iCs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80" w:lineRule="auto"/>
    </w:pPr>
    <w:rPr>
      <w:rFonts w:ascii="Calibri" w:cs="Calibri" w:eastAsia="Calibri" w:hAnsi="Calibri"/>
      <w:color w:val="000000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80" w:lineRule="auto"/>
    </w:pPr>
    <w:rPr>
      <w:rFonts w:ascii="Calibri" w:cs="Calibri" w:eastAsia="Calibri" w:hAnsi="Calibri"/>
      <w:i w:val="1"/>
      <w:iCs w:val="1"/>
      <w:color w:val="000000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16" w:lineRule="auto"/>
    </w:pPr>
    <w:rPr>
      <w:rFonts w:ascii="Calibri" w:cs="Calibri" w:eastAsia="Calibri" w:hAnsi="Calibri"/>
      <w:color w:val="000000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000000"/>
      <w:sz w:val="20"/>
      <w:szCs w:val="20"/>
    </w:rPr>
  </w:style>
  <w:style w:type="table" w:styleId="Table1">
    <w:basedOn w:val="TableNormal"/>
    <w:pPr>
      <w:spacing w:after="0" w:line="216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16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0000"/>
      <w:b/>
    </w:rPr>
  </w:style>
  <w:style w:type="character" w:customStyle="1" w:styleId="DataTypeTok">
    <w:name w:val="DataTypeTok"/>
    <w:basedOn w:val="VerbatimChar"/>
    <w:rPr>
      <w:color w:val="000000"/>
    </w:rPr>
  </w:style>
  <w:style w:type="character" w:customStyle="1" w:styleId="DecValTok">
    <w:name w:val="DecValTok"/>
    <w:basedOn w:val="VerbatimChar"/>
    <w:rPr>
      <w:color w:val="000000"/>
    </w:rPr>
  </w:style>
  <w:style w:type="character" w:customStyle="1" w:styleId="BaseNTok">
    <w:name w:val="BaseNTok"/>
    <w:basedOn w:val="VerbatimChar"/>
    <w:rPr>
      <w:color w:val="000000"/>
    </w:rPr>
  </w:style>
  <w:style w:type="character" w:customStyle="1" w:styleId="FloatTok">
    <w:name w:val="FloatTok"/>
    <w:basedOn w:val="VerbatimChar"/>
    <w:rPr>
      <w:color w:val="000000"/>
    </w:rPr>
  </w:style>
  <w:style w:type="character" w:customStyle="1" w:styleId="ConstantTok">
    <w:name w:val="ConstantTok"/>
    <w:basedOn w:val="VerbatimChar"/>
    <w:rPr>
      <w:color w:val="000000"/>
    </w:rPr>
  </w:style>
  <w:style w:type="character" w:customStyle="1" w:styleId="CharTok">
    <w:name w:val="CharTok"/>
    <w:basedOn w:val="VerbatimChar"/>
    <w:rPr>
      <w:color w:val="000000"/>
    </w:rPr>
  </w:style>
  <w:style w:type="character" w:customStyle="1" w:styleId="SpecialCharTok">
    <w:name w:val="SpecialCharTok"/>
    <w:basedOn w:val="VerbatimChar"/>
    <w:rPr>
      <w:color w:val="000000"/>
    </w:rPr>
  </w:style>
  <w:style w:type="character" w:customStyle="1" w:styleId="StringTok">
    <w:name w:val="StringTok"/>
    <w:basedOn w:val="VerbatimChar"/>
    <w:rPr>
      <w:color w:val="000000"/>
    </w:rPr>
  </w:style>
  <w:style w:type="character" w:customStyle="1" w:styleId="VerbatimStringTok">
    <w:name w:val="VerbatimStringTok"/>
    <w:basedOn w:val="VerbatimChar"/>
    <w:rPr>
      <w:color w:val="000000"/>
    </w:rPr>
  </w:style>
  <w:style w:type="character" w:customStyle="1" w:styleId="SpecialStringTok">
    <w:name w:val="SpecialStringTok"/>
    <w:basedOn w:val="VerbatimChar"/>
    <w:rPr>
      <w:color w:val="000000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000000"/>
      <w:i/>
    </w:rPr>
  </w:style>
  <w:style w:type="character" w:customStyle="1" w:styleId="DocumentationTok">
    <w:name w:val="DocumentationTok"/>
    <w:basedOn w:val="VerbatimChar"/>
    <w:rPr>
      <w:color w:val="000000"/>
      <w:i/>
    </w:rPr>
  </w:style>
  <w:style w:type="character" w:customStyle="1" w:styleId="AnnotationTok">
    <w:name w:val="AnnotationTok"/>
    <w:basedOn w:val="VerbatimChar"/>
    <w:rPr>
      <w:color w:val="000000"/>
      <w:b/>
      <w:i/>
    </w:rPr>
  </w:style>
  <w:style w:type="character" w:customStyle="1" w:styleId="CommentVarTok">
    <w:name w:val="CommentVarTok"/>
    <w:basedOn w:val="VerbatimChar"/>
    <w:rPr>
      <w:color w:val="000000"/>
      <w:b/>
      <w:i/>
    </w:rPr>
  </w:style>
  <w:style w:type="character" w:customStyle="1" w:styleId="OtherTok">
    <w:name w:val="OtherTok"/>
    <w:basedOn w:val="VerbatimChar"/>
    <w:rPr>
      <w:color w:val="000000"/>
    </w:rPr>
  </w:style>
  <w:style w:type="character" w:customStyle="1" w:styleId="FunctionTok">
    <w:name w:val="FunctionTok"/>
    <w:basedOn w:val="VerbatimChar"/>
    <w:rPr>
      <w:color w:val="000000"/>
    </w:rPr>
  </w:style>
  <w:style w:type="character" w:customStyle="1" w:styleId="VariableTok">
    <w:name w:val="VariableTok"/>
    <w:basedOn w:val="VerbatimChar"/>
    <w:rPr>
      <w:color w:val="000000"/>
    </w:rPr>
  </w:style>
  <w:style w:type="character" w:customStyle="1" w:styleId="ControlFlowTok">
    <w:name w:val="ControlFlowTok"/>
    <w:basedOn w:val="VerbatimChar"/>
    <w:rPr>
      <w:color w:val="000000"/>
      <w:b/>
    </w:rPr>
  </w:style>
  <w:style w:type="character" w:customStyle="1" w:styleId="OperatorTok">
    <w:name w:val="OperatorTok"/>
    <w:basedOn w:val="VerbatimChar"/>
    <w:rPr>
      <w:color w:val="000000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000000"/>
    </w:rPr>
  </w:style>
  <w:style w:type="character" w:customStyle="1" w:styleId="AttributeTok">
    <w:name w:val="AttributeTok"/>
    <w:basedOn w:val="VerbatimChar"/>
    <w:rPr>
      <w:color w:val="000000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000000"/>
      <w:b/>
      <w:i/>
    </w:rPr>
  </w:style>
  <w:style w:type="character" w:customStyle="1" w:styleId="WarningTok">
    <w:name w:val="WarningTok"/>
    <w:basedOn w:val="VerbatimChar"/>
    <w:rPr>
      <w:color w:val="000000"/>
      <w:b/>
      <w:i/>
    </w:rPr>
  </w:style>
  <w:style w:type="character" w:customStyle="1" w:styleId="AlertTok">
    <w:name w:val="AlertTok"/>
    <w:basedOn w:val="VerbatimChar"/>
    <w:rPr>
      <w:color w:val="000000"/>
      <w:b/>
    </w:rPr>
  </w:style>
  <w:style w:type="character" w:customStyle="1" w:styleId="ErrorTok">
    <w:name w:val="ErrorTok"/>
    <w:basedOn w:val="VerbatimChar"/>
    <w:rPr>
      <w:color w:val="00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ype="http://schemas.openxmlformats.org/officeDocument/2006/relationships/header" Target="header2.xml" /><Relationship Id="rId10" Type="http://schemas.openxmlformats.org/officeDocument/2006/relationships/header" Target="header3.xml" /><Relationship Id="rId11" Type="http://schemas.openxmlformats.org/officeDocument/2006/relationships/header" Target="header1.xml" /><Relationship Id="rId12" Type="http://schemas.openxmlformats.org/officeDocument/2006/relationships/footer" Target="footer1.xml" /><Relationship Id="rId13" Type="http://schemas.openxmlformats.org/officeDocument/2006/relationships/footer" Target="footer3.xml" /><Relationship Id="rId14" Type="http://schemas.openxmlformats.org/officeDocument/2006/relationships/footer" Target="footer2.xml" /><Relationship Type="http://schemas.openxmlformats.org/officeDocument/2006/relationships/image" Id="rId26" Target="media/rId26.png" /><Relationship Type="http://schemas.openxmlformats.org/officeDocument/2006/relationships/image" Id="rId25" Target="media/rId25.png" /></Relationships>
</file>

<file path=word/_rels/fontTable.xml.rels><?xml version="1.0" encoding="UTF-8" standalone="yes"?>
<Relationships xmlns="http://schemas.openxmlformats.org/package/2006/relationships"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2026-08-10T22:52:44Z</dcterms:created>
  <dcterms:modified xsi:type="dcterms:W3CDTF">2026-08-10T22:52:44Z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