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2AA250" w14:textId="77777777" w:rsidR="003273CC" w:rsidRDefault="00000000">
      <w:pPr>
        <w:pStyle w:val="Heading1"/>
      </w:pPr>
      <w:r>
        <w:t>Comprehensive Response to Reviewers – TNDP Manuscript Revision Plan</w:t>
      </w:r>
    </w:p>
    <w:p w14:paraId="2FA1BB9E" w14:textId="77777777" w:rsidR="003273CC" w:rsidRDefault="00000000">
      <w:r>
        <w:t>This document provides a structured and complete plan to address all reviewer comments received for the manuscript on the bilevel Transport Network Design Problem (TNDP) for Kinshasa. The revisions focus on strengthening data transparency, baseline validation, parameter justification, algorithm comparison fairness, physical interpretability, sensitivity analysis, and structural improvements.</w:t>
      </w:r>
    </w:p>
    <w:p w14:paraId="6AA76D18" w14:textId="77777777" w:rsidR="003273CC" w:rsidRDefault="00000000">
      <w:pPr>
        <w:pStyle w:val="Heading2"/>
      </w:pPr>
      <w:r>
        <w:t>PART I – OD Data Construction and Baseline Validation</w:t>
      </w:r>
    </w:p>
    <w:p w14:paraId="3411239C" w14:textId="77777777" w:rsidR="003273CC" w:rsidRDefault="00000000">
      <w:pPr>
        <w:pStyle w:val="Heading3"/>
      </w:pPr>
      <w:r>
        <w:t>Step 1: Add Dedicated OD Data Section</w:t>
      </w:r>
    </w:p>
    <w:p w14:paraId="108FF51C" w14:textId="77777777" w:rsidR="003273CC" w:rsidRDefault="00000000">
      <w:r>
        <w:t>A new subsection titled 'Origin–Destination Data: Source, Extraction and Validation' must be added to the manuscript.</w:t>
      </w:r>
    </w:p>
    <w:p w14:paraId="7DBAFA0D" w14:textId="77777777" w:rsidR="003273CC" w:rsidRDefault="00000000">
      <w:pPr>
        <w:pStyle w:val="ListBullet"/>
      </w:pPr>
      <w:r>
        <w:t>This section must include:</w:t>
      </w:r>
    </w:p>
    <w:p w14:paraId="0917BE7C" w14:textId="77777777" w:rsidR="003273CC" w:rsidRDefault="00000000">
      <w:pPr>
        <w:pStyle w:val="ListBullet2"/>
      </w:pPr>
      <w:r>
        <w:t>Data year: 2019.</w:t>
      </w:r>
    </w:p>
    <w:p w14:paraId="6EF354F7" w14:textId="77777777" w:rsidR="003273CC" w:rsidRDefault="00000000">
      <w:pPr>
        <w:pStyle w:val="ListBullet2"/>
      </w:pPr>
      <w:r>
        <w:t>Source: JICA Transport Master Plan.</w:t>
      </w:r>
    </w:p>
    <w:p w14:paraId="080F713C" w14:textId="77777777" w:rsidR="003273CC" w:rsidRDefault="00000000">
      <w:pPr>
        <w:pStyle w:val="ListBullet2"/>
      </w:pPr>
      <w:r>
        <w:t>Nature of data: graphical and aggregated OD flows.</w:t>
      </w:r>
    </w:p>
    <w:p w14:paraId="5377B4AE" w14:textId="77777777" w:rsidR="003273CC" w:rsidRDefault="00000000">
      <w:pPr>
        <w:pStyle w:val="ListBullet2"/>
      </w:pPr>
      <w:r>
        <w:t>Extraction method: manual transcription from visual OD aggregates.</w:t>
      </w:r>
    </w:p>
    <w:p w14:paraId="325B65A8" w14:textId="77777777" w:rsidR="003273CC" w:rsidRDefault="00000000">
      <w:pPr>
        <w:pStyle w:val="ListBullet2"/>
      </w:pPr>
      <w:r>
        <w:t>Number of non-zero OD pairs: 78.</w:t>
      </w:r>
    </w:p>
    <w:p w14:paraId="7757ADD4" w14:textId="77777777" w:rsidR="003273CC" w:rsidRDefault="00000000">
      <w:pPr>
        <w:pStyle w:val="ListBullet2"/>
      </w:pPr>
      <w:r>
        <w:t>Units: PCU/day (converted to PCU/hour in assignment model).</w:t>
      </w:r>
    </w:p>
    <w:p w14:paraId="79B48903" w14:textId="77777777" w:rsidR="003273CC" w:rsidRDefault="00000000">
      <w:pPr>
        <w:pStyle w:val="ListBullet"/>
      </w:pPr>
      <w:r>
        <w:t>Explicit clarification of units is mandatory. The manuscript must clearly state:</w:t>
      </w:r>
    </w:p>
    <w:p w14:paraId="1DF9209E" w14:textId="77777777" w:rsidR="003273CC" w:rsidRDefault="00000000">
      <w:pPr>
        <w:pStyle w:val="ListBullet2"/>
      </w:pPr>
      <w:r>
        <w:t>OD demand: PCU/day.</w:t>
      </w:r>
    </w:p>
    <w:p w14:paraId="79650FDB" w14:textId="77777777" w:rsidR="003273CC" w:rsidRDefault="00000000">
      <w:pPr>
        <w:pStyle w:val="ListBullet2"/>
      </w:pPr>
      <w:r>
        <w:t>Converted OD for model: PCU/hour.</w:t>
      </w:r>
    </w:p>
    <w:p w14:paraId="351E492F" w14:textId="77777777" w:rsidR="003273CC" w:rsidRDefault="00000000">
      <w:pPr>
        <w:pStyle w:val="ListBullet2"/>
      </w:pPr>
      <w:r>
        <w:t>Link flows: PCU/hour.</w:t>
      </w:r>
    </w:p>
    <w:p w14:paraId="65EA56E1" w14:textId="77777777" w:rsidR="003273CC" w:rsidRDefault="00000000">
      <w:pPr>
        <w:pStyle w:val="ListBullet2"/>
      </w:pPr>
      <w:r>
        <w:t>Capacity: PCU/hour.</w:t>
      </w:r>
    </w:p>
    <w:p w14:paraId="6A13E887" w14:textId="77777777" w:rsidR="003273CC" w:rsidRDefault="00000000">
      <w:pPr>
        <w:pStyle w:val="ListBullet2"/>
      </w:pPr>
      <w:r>
        <w:t>Travel time: hours.</w:t>
      </w:r>
    </w:p>
    <w:p w14:paraId="18CC6760" w14:textId="77777777" w:rsidR="003273CC" w:rsidRDefault="00000000">
      <w:pPr>
        <w:pStyle w:val="ListBullet2"/>
      </w:pPr>
      <w:r>
        <w:t>Objective function: vehicle-hours.</w:t>
      </w:r>
    </w:p>
    <w:p w14:paraId="74A689AA" w14:textId="77777777" w:rsidR="003273CC" w:rsidRDefault="00000000">
      <w:pPr>
        <w:pStyle w:val="ListBullet"/>
      </w:pPr>
      <w:r>
        <w:t>Additionally, include OD plausibility diagnostics:</w:t>
      </w:r>
    </w:p>
    <w:p w14:paraId="33FC3D03" w14:textId="77777777" w:rsidR="003273CC" w:rsidRDefault="00000000">
      <w:pPr>
        <w:pStyle w:val="ListBullet2"/>
      </w:pPr>
      <w:r>
        <w:t>Total daily demand (sum of OD entries).</w:t>
      </w:r>
    </w:p>
    <w:p w14:paraId="6EBD7879" w14:textId="77777777" w:rsidR="003273CC" w:rsidRDefault="00000000">
      <w:pPr>
        <w:pStyle w:val="ListBullet2"/>
      </w:pPr>
      <w:r>
        <w:t>Mean and standard deviation of OD values.</w:t>
      </w:r>
    </w:p>
    <w:p w14:paraId="75C3B8BC" w14:textId="77777777" w:rsidR="003273CC" w:rsidRDefault="00000000">
      <w:pPr>
        <w:pStyle w:val="ListBullet2"/>
      </w:pPr>
      <w:r>
        <w:t>Maximum OD value.</w:t>
      </w:r>
    </w:p>
    <w:p w14:paraId="7092EB05" w14:textId="77777777" w:rsidR="003273CC" w:rsidRDefault="00000000">
      <w:pPr>
        <w:pStyle w:val="ListBullet2"/>
      </w:pPr>
      <w:r>
        <w:t>Percentage of demand concentrated in top corridors.</w:t>
      </w:r>
    </w:p>
    <w:p w14:paraId="4F4F2038" w14:textId="77777777" w:rsidR="003273CC" w:rsidRDefault="00000000">
      <w:pPr>
        <w:pStyle w:val="ListBullet2"/>
      </w:pPr>
      <w:r>
        <w:t xml:space="preserve">Include OD heatmap and histogram </w:t>
      </w:r>
      <w:proofErr w:type="spellStart"/>
      <w:r>
        <w:t>visualisations</w:t>
      </w:r>
      <w:proofErr w:type="spellEnd"/>
      <w:r>
        <w:t>.</w:t>
      </w:r>
    </w:p>
    <w:p w14:paraId="7CD67FEC" w14:textId="77777777" w:rsidR="00F21F29" w:rsidRDefault="00F21F29" w:rsidP="00F21F29">
      <w:pPr>
        <w:pStyle w:val="ListBullet2"/>
        <w:numPr>
          <w:ilvl w:val="0"/>
          <w:numId w:val="0"/>
        </w:numPr>
        <w:ind w:left="720" w:hanging="360"/>
      </w:pPr>
    </w:p>
    <w:p w14:paraId="47FA28C0" w14:textId="77777777" w:rsidR="00F21F29" w:rsidRDefault="00F21F29" w:rsidP="00F21F29">
      <w:pPr>
        <w:pStyle w:val="ListBullet2"/>
        <w:numPr>
          <w:ilvl w:val="0"/>
          <w:numId w:val="0"/>
        </w:numPr>
        <w:ind w:left="720" w:hanging="360"/>
      </w:pPr>
    </w:p>
    <w:p w14:paraId="2F7A984D" w14:textId="35CA569D" w:rsidR="00F21F29" w:rsidRDefault="00F21F29" w:rsidP="00F21F29">
      <w:pPr>
        <w:pStyle w:val="ListBullet2"/>
        <w:numPr>
          <w:ilvl w:val="0"/>
          <w:numId w:val="0"/>
        </w:numPr>
        <w:ind w:left="720" w:hanging="360"/>
      </w:pPr>
    </w:p>
    <w:p w14:paraId="2993D27F" w14:textId="77777777" w:rsidR="003273CC" w:rsidRDefault="00000000">
      <w:pPr>
        <w:pStyle w:val="Heading3"/>
      </w:pPr>
      <w:r>
        <w:lastRenderedPageBreak/>
        <w:t>Step 2: Baseline Network Validation</w:t>
      </w:r>
    </w:p>
    <w:p w14:paraId="26FF16EC" w14:textId="77777777" w:rsidR="003273CC" w:rsidRDefault="00000000">
      <w:r>
        <w:t>Add a subsection titled 'Baseline Assignment Validation'. Report the following diagnostic metrics:</w:t>
      </w:r>
    </w:p>
    <w:p w14:paraId="231F2BD6" w14:textId="77777777" w:rsidR="003273CC" w:rsidRDefault="00000000">
      <w:pPr>
        <w:pStyle w:val="ListBullet"/>
      </w:pPr>
      <w:r>
        <w:t>Mean and median Volume-to-Capacity ratio (V/C).</w:t>
      </w:r>
    </w:p>
    <w:p w14:paraId="7DE16AE2" w14:textId="77777777" w:rsidR="003273CC" w:rsidRDefault="00000000">
      <w:pPr>
        <w:pStyle w:val="ListBullet"/>
      </w:pPr>
      <w:r>
        <w:t>Percentage of links with V/C &gt; 0.8.</w:t>
      </w:r>
    </w:p>
    <w:p w14:paraId="4BCE5E81" w14:textId="77777777" w:rsidR="003273CC" w:rsidRDefault="00000000">
      <w:pPr>
        <w:pStyle w:val="ListBullet"/>
      </w:pPr>
      <w:r>
        <w:t>Percentage of links with V/C &gt; 1.0.</w:t>
      </w:r>
    </w:p>
    <w:p w14:paraId="470C6530" w14:textId="77777777" w:rsidR="003273CC" w:rsidRDefault="00000000">
      <w:pPr>
        <w:pStyle w:val="ListBullet"/>
      </w:pPr>
      <w:r>
        <w:t>Mean Travel Time Index (TTI).</w:t>
      </w:r>
    </w:p>
    <w:p w14:paraId="4192B29C" w14:textId="77777777" w:rsidR="003273CC" w:rsidRDefault="00000000">
      <w:pPr>
        <w:pStyle w:val="ListBullet"/>
      </w:pPr>
      <w:r>
        <w:t>Average network speed (km/h).</w:t>
      </w:r>
    </w:p>
    <w:p w14:paraId="33DAF226" w14:textId="77777777" w:rsidR="003273CC" w:rsidRDefault="00000000">
      <w:pPr>
        <w:pStyle w:val="ListBullet"/>
      </w:pPr>
      <w:r>
        <w:t>Total system travel time (vehicle-hours).</w:t>
      </w:r>
    </w:p>
    <w:p w14:paraId="71886FB9" w14:textId="77777777" w:rsidR="003273CC" w:rsidRDefault="00000000">
      <w:r>
        <w:t>This demonstrates baseline plausibility even in the absence of direct traffic measurements.</w:t>
      </w:r>
    </w:p>
    <w:p w14:paraId="1A32F6D5" w14:textId="77777777" w:rsidR="003273CC" w:rsidRDefault="00000000">
      <w:pPr>
        <w:pStyle w:val="Heading3"/>
      </w:pPr>
      <w:r>
        <w:t>Step 3: Sensitivity Analysis</w:t>
      </w:r>
    </w:p>
    <w:p w14:paraId="30340F23" w14:textId="77777777" w:rsidR="003273CC" w:rsidRDefault="00000000">
      <w:r>
        <w:t>Conduct minimum sensitivity tests under the following variations:</w:t>
      </w:r>
    </w:p>
    <w:p w14:paraId="58358FAC" w14:textId="77777777" w:rsidR="003273CC" w:rsidRDefault="00000000">
      <w:pPr>
        <w:pStyle w:val="ListBullet"/>
      </w:pPr>
      <w:r>
        <w:t>Capacity per lane: 1200 / 1400 / 1600 pcu/lane/hour.</w:t>
      </w:r>
    </w:p>
    <w:p w14:paraId="19D5B126" w14:textId="77777777" w:rsidR="003273CC" w:rsidRDefault="00000000">
      <w:pPr>
        <w:pStyle w:val="ListBullet"/>
      </w:pPr>
      <w:r>
        <w:t>Free-flow speed: 35 / 40 / 45 km/h.</w:t>
      </w:r>
    </w:p>
    <w:p w14:paraId="35F9B55A" w14:textId="77777777" w:rsidR="003273CC" w:rsidRDefault="00000000">
      <w:pPr>
        <w:pStyle w:val="ListBullet"/>
      </w:pPr>
      <w:r>
        <w:t>Demand perturbation: ±10%.</w:t>
      </w:r>
    </w:p>
    <w:p w14:paraId="47AF2087" w14:textId="77777777" w:rsidR="003273CC" w:rsidRDefault="00000000">
      <w:pPr>
        <w:pStyle w:val="ListBullet"/>
      </w:pPr>
      <w:r>
        <w:t>Report:</w:t>
      </w:r>
    </w:p>
    <w:p w14:paraId="247FA4ED" w14:textId="77777777" w:rsidR="003273CC" w:rsidRDefault="00000000">
      <w:pPr>
        <w:pStyle w:val="ListBullet2"/>
      </w:pPr>
      <w:r>
        <w:t>Percentage change in objective value.</w:t>
      </w:r>
    </w:p>
    <w:p w14:paraId="4FE6CF52" w14:textId="77777777" w:rsidR="003273CC" w:rsidRDefault="00000000">
      <w:pPr>
        <w:pStyle w:val="ListBullet2"/>
      </w:pPr>
      <w:r>
        <w:t>Overlap percentage of selected links.</w:t>
      </w:r>
    </w:p>
    <w:p w14:paraId="64AC519B" w14:textId="77777777" w:rsidR="003273CC" w:rsidRDefault="00000000">
      <w:pPr>
        <w:pStyle w:val="ListBullet2"/>
      </w:pPr>
      <w:r>
        <w:t>Stability score variation.</w:t>
      </w:r>
    </w:p>
    <w:p w14:paraId="41C398D3" w14:textId="77777777" w:rsidR="003273CC" w:rsidRDefault="00000000">
      <w:pPr>
        <w:pStyle w:val="Heading2"/>
      </w:pPr>
      <w:r>
        <w:t>PART II – Parameter Justification</w:t>
      </w:r>
    </w:p>
    <w:p w14:paraId="07CAB79D" w14:textId="77777777" w:rsidR="003273CC" w:rsidRDefault="00000000">
      <w:r>
        <w:t>Replace mechanical statements about canonical parameter values with rigorous justification. State that parameters were adopted from canonical formulations and TNDP literature and verified through pilot tuning experiments.</w:t>
      </w:r>
    </w:p>
    <w:p w14:paraId="06F2B72A" w14:textId="77777777" w:rsidR="003273CC" w:rsidRDefault="00000000">
      <w:pPr>
        <w:pStyle w:val="ListBullet"/>
      </w:pPr>
      <w:r>
        <w:t>Include a parameter sensitivity table covering:</w:t>
      </w:r>
    </w:p>
    <w:p w14:paraId="2869716B" w14:textId="77777777" w:rsidR="003273CC" w:rsidRDefault="00000000">
      <w:pPr>
        <w:pStyle w:val="ListBullet2"/>
      </w:pPr>
      <w:r>
        <w:t>PSO parameters (c1, c2, inertia weight range).</w:t>
      </w:r>
    </w:p>
    <w:p w14:paraId="7030E152" w14:textId="77777777" w:rsidR="003273CC" w:rsidRDefault="00000000">
      <w:pPr>
        <w:pStyle w:val="ListBullet2"/>
      </w:pPr>
      <w:r>
        <w:t>ACO parameters (Q, ρ, α, β).</w:t>
      </w:r>
    </w:p>
    <w:p w14:paraId="1E41039F" w14:textId="77777777" w:rsidR="003273CC" w:rsidRDefault="00000000">
      <w:pPr>
        <w:pStyle w:val="ListBullet2"/>
      </w:pPr>
      <w:r>
        <w:t>SA initial temperature and cooling rate.</w:t>
      </w:r>
    </w:p>
    <w:p w14:paraId="3F34B5C4" w14:textId="77777777" w:rsidR="003273CC" w:rsidRDefault="00000000">
      <w:pPr>
        <w:pStyle w:val="ListBullet2"/>
      </w:pPr>
      <w:r>
        <w:t>Tabu Search tenure.</w:t>
      </w:r>
    </w:p>
    <w:p w14:paraId="642DF339" w14:textId="77777777" w:rsidR="003273CC" w:rsidRDefault="00000000">
      <w:r>
        <w:t>Demonstrate that small parameter variations do not alter algorithm ranking.</w:t>
      </w:r>
    </w:p>
    <w:p w14:paraId="51D8B570" w14:textId="77777777" w:rsidR="003273CC" w:rsidRDefault="00000000">
      <w:pPr>
        <w:pStyle w:val="Heading2"/>
      </w:pPr>
      <w:r>
        <w:t>PART III – Model Bridging and Novelty</w:t>
      </w:r>
    </w:p>
    <w:p w14:paraId="01B55A77" w14:textId="77777777" w:rsidR="003273CC" w:rsidRDefault="00000000">
      <w:r>
        <w:t>Add a subsection explaining why a bilevel TNDP framework is necessary. Clarify that congestion is a network externality and infrastructure decisions influence equilibrium assignment.</w:t>
      </w:r>
    </w:p>
    <w:p w14:paraId="255C335D" w14:textId="77777777" w:rsidR="003273CC" w:rsidRDefault="00000000">
      <w:pPr>
        <w:pStyle w:val="ListBullet"/>
      </w:pPr>
      <w:r>
        <w:t>Clearly state research gap:</w:t>
      </w:r>
    </w:p>
    <w:p w14:paraId="5D2B501A" w14:textId="77777777" w:rsidR="003273CC" w:rsidRDefault="00000000">
      <w:pPr>
        <w:pStyle w:val="ListBullet2"/>
      </w:pPr>
      <w:r>
        <w:lastRenderedPageBreak/>
        <w:t>No TNDP application to Kinshasa.</w:t>
      </w:r>
    </w:p>
    <w:p w14:paraId="61ACD3B4" w14:textId="77777777" w:rsidR="003273CC" w:rsidRDefault="00000000">
      <w:pPr>
        <w:pStyle w:val="ListBullet2"/>
      </w:pPr>
      <w:r>
        <w:t>No study combining greedy seeding with SA and TS for repeatability.</w:t>
      </w:r>
    </w:p>
    <w:p w14:paraId="3E428D90" w14:textId="77777777" w:rsidR="003273CC" w:rsidRDefault="00000000">
      <w:pPr>
        <w:pStyle w:val="ListBullet2"/>
      </w:pPr>
      <w:r>
        <w:t>Introduction of stability score metric.</w:t>
      </w:r>
    </w:p>
    <w:p w14:paraId="1A3D99BE" w14:textId="77777777" w:rsidR="003273CC" w:rsidRDefault="00000000">
      <w:pPr>
        <w:pStyle w:val="Heading2"/>
      </w:pPr>
      <w:r>
        <w:t>PART IV – Algorithm Comparison Fairness</w:t>
      </w:r>
    </w:p>
    <w:p w14:paraId="483FCBFD" w14:textId="77777777" w:rsidR="003273CC" w:rsidRDefault="00000000">
      <w:pPr>
        <w:pStyle w:val="ListBullet"/>
      </w:pPr>
      <w:r>
        <w:t>Add a deterministic baseline such as:</w:t>
      </w:r>
    </w:p>
    <w:p w14:paraId="52818B11" w14:textId="77777777" w:rsidR="003273CC" w:rsidRDefault="00000000">
      <w:pPr>
        <w:pStyle w:val="ListBullet2"/>
      </w:pPr>
      <w:r>
        <w:t>Pure greedy heuristic.</w:t>
      </w:r>
    </w:p>
    <w:p w14:paraId="4EC0E311" w14:textId="77777777" w:rsidR="003273CC" w:rsidRDefault="00000000">
      <w:pPr>
        <w:pStyle w:val="ListBullet2"/>
      </w:pPr>
      <w:r>
        <w:t>Relaxed LP bound if feasible.</w:t>
      </w:r>
    </w:p>
    <w:p w14:paraId="58D3DF7C" w14:textId="77777777" w:rsidR="003273CC" w:rsidRDefault="00000000">
      <w:r>
        <w:t>Clarify that identical objective evaluation counts (Fev) are appropriate because lower-level assignment dominates runtime.</w:t>
      </w:r>
    </w:p>
    <w:p w14:paraId="53318FDB" w14:textId="77777777" w:rsidR="003273CC" w:rsidRDefault="00000000">
      <w:r>
        <w:t>If multiple pairwise comparisons are performed, apply Holm or Bonferroni correction for statistical significance.</w:t>
      </w:r>
    </w:p>
    <w:p w14:paraId="2F68AF68" w14:textId="77777777" w:rsidR="003273CC" w:rsidRDefault="00000000">
      <w:pPr>
        <w:pStyle w:val="Heading2"/>
      </w:pPr>
      <w:r>
        <w:t>PART V – Physical Interpretability of Results</w:t>
      </w:r>
    </w:p>
    <w:p w14:paraId="5E1E035E" w14:textId="77777777" w:rsidR="003273CC" w:rsidRDefault="00000000">
      <w:pPr>
        <w:pStyle w:val="ListBullet"/>
      </w:pPr>
      <w:r>
        <w:t>Report improvements in physical units:</w:t>
      </w:r>
    </w:p>
    <w:p w14:paraId="40741E24" w14:textId="77777777" w:rsidR="003273CC" w:rsidRDefault="00000000">
      <w:pPr>
        <w:pStyle w:val="ListBullet2"/>
      </w:pPr>
      <w:r>
        <w:t>Baseline total vehicle-hours.</w:t>
      </w:r>
    </w:p>
    <w:p w14:paraId="41B5219F" w14:textId="77777777" w:rsidR="003273CC" w:rsidRDefault="00000000">
      <w:pPr>
        <w:pStyle w:val="ListBullet2"/>
      </w:pPr>
      <w:r>
        <w:t>Improved vehicle-hours.</w:t>
      </w:r>
    </w:p>
    <w:p w14:paraId="5CD7A2BB" w14:textId="77777777" w:rsidR="003273CC" w:rsidRDefault="00000000">
      <w:pPr>
        <w:pStyle w:val="ListBullet2"/>
      </w:pPr>
      <w:r>
        <w:t>Percentage reduction.</w:t>
      </w:r>
    </w:p>
    <w:p w14:paraId="578AD532" w14:textId="77777777" w:rsidR="003273CC" w:rsidRDefault="00000000">
      <w:pPr>
        <w:pStyle w:val="ListBullet2"/>
      </w:pPr>
      <w:r>
        <w:t>Average travel time reduction (minutes).</w:t>
      </w:r>
    </w:p>
    <w:p w14:paraId="0421C346" w14:textId="77777777" w:rsidR="003273CC" w:rsidRDefault="00000000">
      <w:pPr>
        <w:pStyle w:val="ListBullet2"/>
      </w:pPr>
      <w:r>
        <w:t>Average speed increase (km/h).</w:t>
      </w:r>
    </w:p>
    <w:p w14:paraId="1E4CFB52" w14:textId="77777777" w:rsidR="003273CC" w:rsidRDefault="00000000">
      <w:pPr>
        <w:pStyle w:val="Heading2"/>
      </w:pPr>
      <w:r>
        <w:t>PART VI – Constructability Clarification</w:t>
      </w:r>
    </w:p>
    <w:p w14:paraId="0A5236AF" w14:textId="77777777" w:rsidR="003273CC" w:rsidRDefault="00000000">
      <w:r>
        <w:t>Explicitly state that geometric intersection penalty is a proxy for spatial conflict and does not represent full engineering feasibility constraints such as topography, right-of-way, environmental or cost heterogeneity factors.</w:t>
      </w:r>
    </w:p>
    <w:p w14:paraId="0F088C67" w14:textId="77777777" w:rsidR="003273CC" w:rsidRDefault="00000000">
      <w:pPr>
        <w:pStyle w:val="Heading2"/>
      </w:pPr>
      <w:r>
        <w:t>PART VII – Structural Improvements</w:t>
      </w:r>
    </w:p>
    <w:p w14:paraId="55FF0111" w14:textId="77777777" w:rsidR="003273CC" w:rsidRDefault="00000000">
      <w:pPr>
        <w:pStyle w:val="ListBullet"/>
      </w:pPr>
      <w:r>
        <w:t>Separate Introduction and Literature Review.</w:t>
      </w:r>
    </w:p>
    <w:p w14:paraId="32D8C51D" w14:textId="77777777" w:rsidR="003273CC" w:rsidRDefault="00000000">
      <w:pPr>
        <w:pStyle w:val="ListBullet"/>
      </w:pPr>
      <w:r>
        <w:t>End literature review with explicit Research Gap section.</w:t>
      </w:r>
    </w:p>
    <w:p w14:paraId="410EBE81" w14:textId="77777777" w:rsidR="003273CC" w:rsidRDefault="00000000">
      <w:pPr>
        <w:pStyle w:val="ListBullet"/>
      </w:pPr>
      <w:r>
        <w:t>Provide citations for each equation used.</w:t>
      </w:r>
    </w:p>
    <w:p w14:paraId="6DAF33F3" w14:textId="77777777" w:rsidR="003273CC" w:rsidRDefault="00000000">
      <w:pPr>
        <w:pStyle w:val="ListBullet"/>
      </w:pPr>
      <w:r>
        <w:t>Define all units in figures and tables.</w:t>
      </w:r>
    </w:p>
    <w:p w14:paraId="7568F05A" w14:textId="77777777" w:rsidR="003273CC" w:rsidRDefault="00000000">
      <w:pPr>
        <w:pStyle w:val="ListBullet"/>
      </w:pPr>
      <w:r>
        <w:t>Clarify that 'Budget 100 km' refers to total added link length.</w:t>
      </w:r>
    </w:p>
    <w:p w14:paraId="55D9AF4B" w14:textId="77777777" w:rsidR="003273CC" w:rsidRDefault="00000000">
      <w:pPr>
        <w:pStyle w:val="Heading2"/>
      </w:pPr>
      <w:r>
        <w:t>PART VIII – Abstract Enhancement</w:t>
      </w:r>
    </w:p>
    <w:p w14:paraId="1B26C12A" w14:textId="77777777" w:rsidR="003273CC" w:rsidRDefault="00000000">
      <w:pPr>
        <w:pStyle w:val="ListBullet"/>
      </w:pPr>
      <w:r>
        <w:t>Include quantitative results in abstract:</w:t>
      </w:r>
    </w:p>
    <w:p w14:paraId="38CD37D5" w14:textId="77777777" w:rsidR="003273CC" w:rsidRDefault="00000000">
      <w:pPr>
        <w:pStyle w:val="ListBullet2"/>
      </w:pPr>
      <w:r>
        <w:t>Network size (28 nodes, 78 OD pairs).</w:t>
      </w:r>
    </w:p>
    <w:p w14:paraId="33E3BC79" w14:textId="77777777" w:rsidR="003273CC" w:rsidRDefault="00000000">
      <w:pPr>
        <w:pStyle w:val="ListBullet2"/>
      </w:pPr>
      <w:r>
        <w:t>Budget constraint (100 km).</w:t>
      </w:r>
    </w:p>
    <w:p w14:paraId="42C23C7B" w14:textId="77777777" w:rsidR="003273CC" w:rsidRDefault="00000000">
      <w:pPr>
        <w:pStyle w:val="ListBullet2"/>
      </w:pPr>
      <w:r>
        <w:t>Best % reduction in vehicle-hours.</w:t>
      </w:r>
    </w:p>
    <w:p w14:paraId="30972250" w14:textId="77777777" w:rsidR="003273CC" w:rsidRDefault="00000000">
      <w:pPr>
        <w:pStyle w:val="ListBullet2"/>
      </w:pPr>
      <w:r>
        <w:t>Stability score findings.</w:t>
      </w:r>
    </w:p>
    <w:p w14:paraId="310C128F" w14:textId="77777777" w:rsidR="003273CC" w:rsidRDefault="00000000">
      <w:pPr>
        <w:pStyle w:val="ListBullet2"/>
      </w:pPr>
      <w:r>
        <w:lastRenderedPageBreak/>
        <w:t>Sensitivity robustness statement.</w:t>
      </w:r>
    </w:p>
    <w:p w14:paraId="3730B3F8" w14:textId="77777777" w:rsidR="003273CC" w:rsidRDefault="00000000">
      <w:pPr>
        <w:pStyle w:val="Heading2"/>
      </w:pPr>
      <w:r>
        <w:t>PART IX – Policy Interpretation Enhancement</w:t>
      </w:r>
    </w:p>
    <w:p w14:paraId="6274F786" w14:textId="77777777" w:rsidR="003273CC" w:rsidRDefault="00000000">
      <w:pPr>
        <w:pStyle w:val="ListBullet"/>
      </w:pPr>
      <w:r>
        <w:t>For each recommended link, provide:</w:t>
      </w:r>
    </w:p>
    <w:p w14:paraId="3C48C5FE" w14:textId="77777777" w:rsidR="003273CC" w:rsidRDefault="00000000">
      <w:pPr>
        <w:pStyle w:val="ListBullet2"/>
      </w:pPr>
      <w:r>
        <w:t>Geographic location and corridor context.</w:t>
      </w:r>
    </w:p>
    <w:p w14:paraId="4EE073D8" w14:textId="77777777" w:rsidR="003273CC" w:rsidRDefault="00000000">
      <w:pPr>
        <w:pStyle w:val="ListBullet2"/>
      </w:pPr>
      <w:r>
        <w:t>Percentage load reduction on adjacent links.</w:t>
      </w:r>
    </w:p>
    <w:p w14:paraId="13C905C1" w14:textId="77777777" w:rsidR="003273CC" w:rsidRDefault="00000000">
      <w:pPr>
        <w:pStyle w:val="ListBullet2"/>
      </w:pPr>
      <w:r>
        <w:t>Strategic importance explanation.</w:t>
      </w:r>
    </w:p>
    <w:sectPr w:rsidR="003273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5478346">
    <w:abstractNumId w:val="8"/>
  </w:num>
  <w:num w:numId="2" w16cid:durableId="1237396165">
    <w:abstractNumId w:val="6"/>
  </w:num>
  <w:num w:numId="3" w16cid:durableId="390427073">
    <w:abstractNumId w:val="5"/>
  </w:num>
  <w:num w:numId="4" w16cid:durableId="1417751593">
    <w:abstractNumId w:val="4"/>
  </w:num>
  <w:num w:numId="5" w16cid:durableId="1966766276">
    <w:abstractNumId w:val="7"/>
  </w:num>
  <w:num w:numId="6" w16cid:durableId="10685416">
    <w:abstractNumId w:val="3"/>
  </w:num>
  <w:num w:numId="7" w16cid:durableId="433331434">
    <w:abstractNumId w:val="2"/>
  </w:num>
  <w:num w:numId="8" w16cid:durableId="1083182717">
    <w:abstractNumId w:val="1"/>
  </w:num>
  <w:num w:numId="9" w16cid:durableId="618952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3CC"/>
    <w:rsid w:val="004155E7"/>
    <w:rsid w:val="007E5491"/>
    <w:rsid w:val="00AA1D8D"/>
    <w:rsid w:val="00B47730"/>
    <w:rsid w:val="00CB0664"/>
    <w:rsid w:val="00F21F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4FE194"/>
  <w14:defaultImageDpi w14:val="300"/>
  <w15:docId w15:val="{7534B8B1-0612-7F45-B3DA-1479DE117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704</Words>
  <Characters>4016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Yves Matanga</cp:lastModifiedBy>
  <cp:revision>2</cp:revision>
  <dcterms:created xsi:type="dcterms:W3CDTF">2013-12-23T23:15:00Z</dcterms:created>
  <dcterms:modified xsi:type="dcterms:W3CDTF">2026-03-04T07:03:00Z</dcterms:modified>
  <cp:category/>
</cp:coreProperties>
</file>