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DD26" w14:textId="77777777" w:rsidR="009141E2" w:rsidRDefault="00000000">
      <w:pPr>
        <w:spacing w:after="40"/>
        <w:jc w:val="center"/>
      </w:pPr>
      <w:r>
        <w:rPr>
          <w:b/>
          <w:bCs/>
          <w:color w:val="1A1A1A"/>
          <w:sz w:val="34"/>
          <w:szCs w:val="34"/>
        </w:rPr>
        <w:t>Online Retail Data Analysis</w:t>
      </w:r>
    </w:p>
    <w:p w14:paraId="2FB2E4C1" w14:textId="2E429467" w:rsidR="009141E2" w:rsidRPr="00EF33DA" w:rsidRDefault="009141E2" w:rsidP="00A713E8">
      <w:pPr>
        <w:spacing w:after="160"/>
        <w:rPr>
          <w:sz w:val="24"/>
          <w:szCs w:val="24"/>
        </w:rPr>
      </w:pPr>
    </w:p>
    <w:p w14:paraId="7CFE93CE" w14:textId="77777777" w:rsidR="009141E2" w:rsidRPr="00DC4B63" w:rsidRDefault="00000000">
      <w:pPr>
        <w:pStyle w:val="Heading2"/>
        <w:pBdr>
          <w:bottom w:val="single" w:sz="4" w:space="0" w:color="B85C00"/>
        </w:pBdr>
        <w:spacing w:before="160" w:after="60"/>
        <w:rPr>
          <w:sz w:val="28"/>
          <w:szCs w:val="28"/>
        </w:rPr>
      </w:pPr>
      <w:r w:rsidRPr="00DC4B63">
        <w:rPr>
          <w:b/>
          <w:bCs/>
          <w:color w:val="B85C00"/>
          <w:sz w:val="28"/>
          <w:szCs w:val="28"/>
        </w:rPr>
        <w:t>Cleaning Challenges Encountered</w:t>
      </w:r>
    </w:p>
    <w:p w14:paraId="4D7941EB" w14:textId="76A524E6" w:rsidR="009141E2" w:rsidRPr="00DC4B63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DC4B63">
        <w:rPr>
          <w:b/>
          <w:bCs/>
          <w:sz w:val="24"/>
          <w:szCs w:val="24"/>
        </w:rPr>
        <w:t xml:space="preserve">Missing values: </w:t>
      </w:r>
      <w:r w:rsidRPr="00DC4B63">
        <w:rPr>
          <w:sz w:val="24"/>
          <w:szCs w:val="24"/>
        </w:rPr>
        <w:t xml:space="preserve">135,080 rows (25%) had missing </w:t>
      </w:r>
      <w:proofErr w:type="spellStart"/>
      <w:r w:rsidRPr="00DC4B63">
        <w:rPr>
          <w:sz w:val="24"/>
          <w:szCs w:val="24"/>
        </w:rPr>
        <w:t>CustomerID</w:t>
      </w:r>
      <w:proofErr w:type="spellEnd"/>
      <w:r w:rsidRPr="00DC4B63">
        <w:rPr>
          <w:sz w:val="24"/>
          <w:szCs w:val="24"/>
        </w:rPr>
        <w:t xml:space="preserve"> and 1,454 had missing Description</w:t>
      </w:r>
      <w:r w:rsidR="00A713E8" w:rsidRPr="00DC4B63">
        <w:rPr>
          <w:sz w:val="24"/>
          <w:szCs w:val="24"/>
        </w:rPr>
        <w:t xml:space="preserve">, </w:t>
      </w:r>
      <w:r w:rsidRPr="00DC4B63">
        <w:rPr>
          <w:sz w:val="24"/>
          <w:szCs w:val="24"/>
        </w:rPr>
        <w:t>handled by flagging/excluding rather than deleting, to preserve revenue totals.</w:t>
      </w:r>
    </w:p>
    <w:p w14:paraId="3FE2A66B" w14:textId="77777777" w:rsidR="009141E2" w:rsidRPr="00DC4B63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DC4B63">
        <w:rPr>
          <w:b/>
          <w:bCs/>
          <w:sz w:val="24"/>
          <w:szCs w:val="24"/>
        </w:rPr>
        <w:t xml:space="preserve">Duplicates: </w:t>
      </w:r>
      <w:r w:rsidRPr="00DC4B63">
        <w:rPr>
          <w:sz w:val="24"/>
          <w:szCs w:val="24"/>
        </w:rPr>
        <w:t>5,268 fully duplicate rows (identical across all 8 columns) were identified via GROUP BY/window functions and removed after preview.</w:t>
      </w:r>
    </w:p>
    <w:p w14:paraId="75172CBC" w14:textId="77777777" w:rsidR="009141E2" w:rsidRPr="00DC4B63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DC4B63">
        <w:rPr>
          <w:b/>
          <w:bCs/>
          <w:sz w:val="24"/>
          <w:szCs w:val="24"/>
        </w:rPr>
        <w:t xml:space="preserve">Inconsistent formatting: </w:t>
      </w:r>
      <w:r w:rsidRPr="00DC4B63">
        <w:rPr>
          <w:sz w:val="24"/>
          <w:szCs w:val="24"/>
        </w:rPr>
        <w:t>Product codes appeared in mixed case (e.g., 15056BL vs 15056bl) and were merged into one canonical version using UPPER()/</w:t>
      </w:r>
      <w:proofErr w:type="gramStart"/>
      <w:r w:rsidRPr="00DC4B63">
        <w:rPr>
          <w:sz w:val="24"/>
          <w:szCs w:val="24"/>
        </w:rPr>
        <w:t>TRIM(</w:t>
      </w:r>
      <w:proofErr w:type="gramEnd"/>
      <w:r w:rsidRPr="00DC4B63">
        <w:rPr>
          <w:sz w:val="24"/>
          <w:szCs w:val="24"/>
        </w:rPr>
        <w:t>); Country and Description were standardized the same way.</w:t>
      </w:r>
    </w:p>
    <w:p w14:paraId="151C2EA5" w14:textId="77777777" w:rsidR="009141E2" w:rsidRPr="00DC4B63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DC4B63">
        <w:rPr>
          <w:b/>
          <w:bCs/>
          <w:sz w:val="24"/>
          <w:szCs w:val="24"/>
        </w:rPr>
        <w:t xml:space="preserve">Invalid values: </w:t>
      </w:r>
      <w:r w:rsidRPr="00DC4B63">
        <w:rPr>
          <w:sz w:val="24"/>
          <w:szCs w:val="24"/>
        </w:rPr>
        <w:t xml:space="preserve">2 negative and 2,515 </w:t>
      </w:r>
      <w:proofErr w:type="gramStart"/>
      <w:r w:rsidRPr="00DC4B63">
        <w:rPr>
          <w:sz w:val="24"/>
          <w:szCs w:val="24"/>
        </w:rPr>
        <w:t>zero unit</w:t>
      </w:r>
      <w:proofErr w:type="gramEnd"/>
      <w:r w:rsidRPr="00DC4B63">
        <w:rPr>
          <w:sz w:val="24"/>
          <w:szCs w:val="24"/>
        </w:rPr>
        <w:t xml:space="preserve"> prices, plus non-product </w:t>
      </w:r>
      <w:proofErr w:type="spellStart"/>
      <w:r w:rsidRPr="00DC4B63">
        <w:rPr>
          <w:sz w:val="24"/>
          <w:szCs w:val="24"/>
        </w:rPr>
        <w:t>StockCodes</w:t>
      </w:r>
      <w:proofErr w:type="spellEnd"/>
      <w:r w:rsidRPr="00DC4B63">
        <w:rPr>
          <w:sz w:val="24"/>
          <w:szCs w:val="24"/>
        </w:rPr>
        <w:t xml:space="preserve"> (POST, D, M, BANK CHARGES, DOT, PADS) representing postage/fees rather than real inventory, were isolated from product-level analysis.</w:t>
      </w:r>
    </w:p>
    <w:p w14:paraId="75363DA4" w14:textId="72EB4A47" w:rsidR="009141E2" w:rsidRPr="00DC4B63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DC4B63">
        <w:rPr>
          <w:b/>
          <w:bCs/>
          <w:sz w:val="24"/>
          <w:szCs w:val="24"/>
        </w:rPr>
        <w:t xml:space="preserve">Outliers: </w:t>
      </w:r>
      <w:r w:rsidRPr="00DC4B63">
        <w:rPr>
          <w:sz w:val="24"/>
          <w:szCs w:val="24"/>
        </w:rPr>
        <w:t xml:space="preserve">A single extreme bulk order (80,995 units, fully cancelled) and several administrative fee entries (up to </w:t>
      </w:r>
      <w:r w:rsidR="00EF33DA" w:rsidRPr="00DC4B63">
        <w:rPr>
          <w:sz w:val="24"/>
          <w:szCs w:val="24"/>
        </w:rPr>
        <w:t>$</w:t>
      </w:r>
      <w:r w:rsidRPr="00DC4B63">
        <w:rPr>
          <w:sz w:val="24"/>
          <w:szCs w:val="24"/>
        </w:rPr>
        <w:t>38,970) were confirmed as legitimate outliers, not errors, and treated separately from typical transactions.</w:t>
      </w:r>
    </w:p>
    <w:p w14:paraId="27D35977" w14:textId="77777777" w:rsidR="00A713E8" w:rsidRPr="00DC4B63" w:rsidRDefault="00A713E8" w:rsidP="00A713E8">
      <w:pPr>
        <w:pStyle w:val="ListParagraph"/>
        <w:spacing w:after="40"/>
        <w:ind w:left="260"/>
        <w:rPr>
          <w:sz w:val="28"/>
          <w:szCs w:val="28"/>
        </w:rPr>
      </w:pPr>
    </w:p>
    <w:p w14:paraId="3CE7A448" w14:textId="77777777" w:rsidR="009141E2" w:rsidRPr="00DC4B63" w:rsidRDefault="00000000">
      <w:pPr>
        <w:pStyle w:val="Heading2"/>
        <w:pBdr>
          <w:bottom w:val="single" w:sz="4" w:space="0" w:color="B85C00"/>
        </w:pBdr>
        <w:spacing w:before="160" w:after="60"/>
        <w:rPr>
          <w:sz w:val="28"/>
          <w:szCs w:val="28"/>
        </w:rPr>
      </w:pPr>
      <w:r w:rsidRPr="00DC4B63">
        <w:rPr>
          <w:b/>
          <w:bCs/>
          <w:color w:val="B85C00"/>
          <w:sz w:val="28"/>
          <w:szCs w:val="28"/>
        </w:rPr>
        <w:t>Key EDA Findings</w:t>
      </w:r>
    </w:p>
    <w:p w14:paraId="1D96209F" w14:textId="49743046" w:rsidR="009141E2" w:rsidRPr="00DC4B63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DC4B63">
        <w:rPr>
          <w:b/>
          <w:bCs/>
          <w:sz w:val="24"/>
          <w:szCs w:val="24"/>
        </w:rPr>
        <w:t xml:space="preserve">Skewed distributions: </w:t>
      </w:r>
      <w:r w:rsidRPr="00DC4B63">
        <w:rPr>
          <w:sz w:val="24"/>
          <w:szCs w:val="24"/>
        </w:rPr>
        <w:t xml:space="preserve">Order values are heavily right-skewed — mean Quantity (9.92) and </w:t>
      </w:r>
      <w:proofErr w:type="spellStart"/>
      <w:r w:rsidRPr="00DC4B63">
        <w:rPr>
          <w:sz w:val="24"/>
          <w:szCs w:val="24"/>
        </w:rPr>
        <w:t>UnitPrice</w:t>
      </w:r>
      <w:proofErr w:type="spellEnd"/>
      <w:r w:rsidRPr="00DC4B63">
        <w:rPr>
          <w:sz w:val="24"/>
          <w:szCs w:val="24"/>
        </w:rPr>
        <w:t xml:space="preserve"> (</w:t>
      </w:r>
      <w:r w:rsidR="00EF33DA" w:rsidRPr="00DC4B63">
        <w:rPr>
          <w:sz w:val="24"/>
          <w:szCs w:val="24"/>
        </w:rPr>
        <w:t>$</w:t>
      </w:r>
      <w:r w:rsidRPr="00DC4B63">
        <w:rPr>
          <w:sz w:val="24"/>
          <w:szCs w:val="24"/>
        </w:rPr>
        <w:t xml:space="preserve">4.68) sit well above their medians (3 and </w:t>
      </w:r>
      <w:r w:rsidR="00EF33DA" w:rsidRPr="00DC4B63">
        <w:rPr>
          <w:sz w:val="24"/>
          <w:szCs w:val="24"/>
        </w:rPr>
        <w:t>$</w:t>
      </w:r>
      <w:r w:rsidRPr="00DC4B63">
        <w:rPr>
          <w:sz w:val="24"/>
          <w:szCs w:val="24"/>
        </w:rPr>
        <w:t>2.10), driven by a small number of large B2B orders.</w:t>
      </w:r>
    </w:p>
    <w:p w14:paraId="236E2BA9" w14:textId="2BDDBBBF" w:rsidR="009141E2" w:rsidRPr="00DC4B63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DC4B63">
        <w:rPr>
          <w:b/>
          <w:bCs/>
          <w:sz w:val="24"/>
          <w:szCs w:val="24"/>
        </w:rPr>
        <w:t xml:space="preserve">Seasonality: </w:t>
      </w:r>
      <w:r w:rsidRPr="00DC4B63">
        <w:rPr>
          <w:sz w:val="24"/>
          <w:szCs w:val="24"/>
        </w:rPr>
        <w:t xml:space="preserve">Revenue held steady near </w:t>
      </w:r>
      <w:r w:rsidR="00EF33DA" w:rsidRPr="00DC4B63">
        <w:rPr>
          <w:sz w:val="24"/>
          <w:szCs w:val="24"/>
        </w:rPr>
        <w:t>$</w:t>
      </w:r>
      <w:r w:rsidRPr="00DC4B63">
        <w:rPr>
          <w:sz w:val="24"/>
          <w:szCs w:val="24"/>
        </w:rPr>
        <w:t xml:space="preserve">0.5–0.8M/month before rising sharply from Sept–Nov 2011, peaking at </w:t>
      </w:r>
      <w:r w:rsidR="00EF33DA" w:rsidRPr="00DC4B63">
        <w:rPr>
          <w:sz w:val="24"/>
          <w:szCs w:val="24"/>
        </w:rPr>
        <w:t>$</w:t>
      </w:r>
      <w:r w:rsidRPr="00DC4B63">
        <w:rPr>
          <w:sz w:val="24"/>
          <w:szCs w:val="24"/>
        </w:rPr>
        <w:t>1.47M</w:t>
      </w:r>
      <w:r w:rsidR="00A713E8" w:rsidRPr="00DC4B63">
        <w:rPr>
          <w:sz w:val="24"/>
          <w:szCs w:val="24"/>
        </w:rPr>
        <w:t>,</w:t>
      </w:r>
      <w:r w:rsidRPr="00DC4B63">
        <w:rPr>
          <w:sz w:val="24"/>
          <w:szCs w:val="24"/>
        </w:rPr>
        <w:t xml:space="preserve"> a clear holiday-season pattern.</w:t>
      </w:r>
    </w:p>
    <w:p w14:paraId="548DB933" w14:textId="48382247" w:rsidR="009141E2" w:rsidRPr="00DC4B63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DC4B63">
        <w:rPr>
          <w:b/>
          <w:bCs/>
          <w:sz w:val="24"/>
          <w:szCs w:val="24"/>
        </w:rPr>
        <w:t xml:space="preserve">Customer concentration: </w:t>
      </w:r>
      <w:r w:rsidRPr="00DC4B63">
        <w:rPr>
          <w:sz w:val="24"/>
          <w:szCs w:val="24"/>
        </w:rPr>
        <w:t>Just 349 Wholesale B2B customers (8% of the base) generate 77% of total revenue (</w:t>
      </w:r>
      <w:r w:rsidR="00EF33DA" w:rsidRPr="00DC4B63">
        <w:rPr>
          <w:sz w:val="24"/>
          <w:szCs w:val="24"/>
        </w:rPr>
        <w:t>$</w:t>
      </w:r>
      <w:r w:rsidRPr="00DC4B63">
        <w:rPr>
          <w:sz w:val="24"/>
          <w:szCs w:val="24"/>
        </w:rPr>
        <w:t xml:space="preserve">6.63M), while 2,631 Standard Retail customers contribute only </w:t>
      </w:r>
      <w:r w:rsidR="00EF33DA" w:rsidRPr="00DC4B63">
        <w:rPr>
          <w:sz w:val="24"/>
          <w:szCs w:val="24"/>
        </w:rPr>
        <w:t>$</w:t>
      </w:r>
      <w:r w:rsidRPr="00DC4B63">
        <w:rPr>
          <w:sz w:val="24"/>
          <w:szCs w:val="24"/>
        </w:rPr>
        <w:t>1.08M</w:t>
      </w:r>
      <w:r w:rsidR="00A713E8" w:rsidRPr="00DC4B63">
        <w:rPr>
          <w:sz w:val="24"/>
          <w:szCs w:val="24"/>
        </w:rPr>
        <w:t xml:space="preserve">, </w:t>
      </w:r>
      <w:r w:rsidRPr="00DC4B63">
        <w:rPr>
          <w:sz w:val="24"/>
          <w:szCs w:val="24"/>
        </w:rPr>
        <w:t>a strong Pareto (80/20) pattern.</w:t>
      </w:r>
    </w:p>
    <w:p w14:paraId="5C06CC51" w14:textId="75818FD4" w:rsidR="009141E2" w:rsidRPr="00DC4B63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DC4B63">
        <w:rPr>
          <w:b/>
          <w:bCs/>
          <w:sz w:val="24"/>
          <w:szCs w:val="24"/>
        </w:rPr>
        <w:t xml:space="preserve">Geographic imbalance: </w:t>
      </w:r>
      <w:r w:rsidRPr="00DC4B63">
        <w:rPr>
          <w:sz w:val="24"/>
          <w:szCs w:val="24"/>
        </w:rPr>
        <w:t>The United Kingdom dominates by volume, but the Netherlands ranks #2 in revenue with only 9 customers (</w:t>
      </w:r>
      <w:r w:rsidR="00EF33DA" w:rsidRPr="00DC4B63">
        <w:rPr>
          <w:sz w:val="24"/>
          <w:szCs w:val="24"/>
        </w:rPr>
        <w:t>$</w:t>
      </w:r>
      <w:r w:rsidRPr="00DC4B63">
        <w:rPr>
          <w:sz w:val="24"/>
          <w:szCs w:val="24"/>
        </w:rPr>
        <w:t>31K average spend each)</w:t>
      </w:r>
      <w:r w:rsidR="00A713E8" w:rsidRPr="00DC4B63">
        <w:rPr>
          <w:sz w:val="24"/>
          <w:szCs w:val="24"/>
        </w:rPr>
        <w:t xml:space="preserve">, </w:t>
      </w:r>
      <w:r w:rsidRPr="00DC4B63">
        <w:rPr>
          <w:sz w:val="24"/>
          <w:szCs w:val="24"/>
        </w:rPr>
        <w:t>a narrow, high-value channel.</w:t>
      </w:r>
    </w:p>
    <w:p w14:paraId="73E13E9C" w14:textId="77777777" w:rsidR="00A713E8" w:rsidRPr="00DC4B63" w:rsidRDefault="00A713E8" w:rsidP="00A713E8">
      <w:pPr>
        <w:pStyle w:val="ListParagraph"/>
        <w:spacing w:after="40"/>
        <w:ind w:left="260"/>
        <w:rPr>
          <w:sz w:val="24"/>
          <w:szCs w:val="24"/>
        </w:rPr>
      </w:pPr>
    </w:p>
    <w:p w14:paraId="0BD923C2" w14:textId="77777777" w:rsidR="009141E2" w:rsidRPr="00DC4B63" w:rsidRDefault="00000000">
      <w:pPr>
        <w:pStyle w:val="Heading2"/>
        <w:pBdr>
          <w:bottom w:val="single" w:sz="4" w:space="0" w:color="B85C00"/>
        </w:pBdr>
        <w:spacing w:before="160" w:after="60"/>
        <w:rPr>
          <w:sz w:val="28"/>
          <w:szCs w:val="28"/>
        </w:rPr>
      </w:pPr>
      <w:r w:rsidRPr="00DC4B63">
        <w:rPr>
          <w:b/>
          <w:bCs/>
          <w:color w:val="B85C00"/>
          <w:sz w:val="28"/>
          <w:szCs w:val="28"/>
        </w:rPr>
        <w:t>Top Insights</w:t>
      </w:r>
    </w:p>
    <w:p w14:paraId="243D8545" w14:textId="77777777" w:rsidR="009141E2" w:rsidRPr="00DC4B63" w:rsidRDefault="00000000" w:rsidP="00DC4B63">
      <w:pPr>
        <w:pStyle w:val="ListParagraph"/>
        <w:spacing w:after="40"/>
        <w:ind w:left="260"/>
        <w:rPr>
          <w:sz w:val="24"/>
          <w:szCs w:val="24"/>
        </w:rPr>
      </w:pPr>
      <w:r w:rsidRPr="00DC4B63">
        <w:rPr>
          <w:b/>
          <w:bCs/>
          <w:sz w:val="24"/>
          <w:szCs w:val="24"/>
        </w:rPr>
        <w:t xml:space="preserve">1. </w:t>
      </w:r>
      <w:r w:rsidRPr="00DC4B63">
        <w:rPr>
          <w:sz w:val="24"/>
          <w:szCs w:val="24"/>
        </w:rPr>
        <w:t>Revenue is concentrated in a small Wholesale B2B segment, meaning retention of a few key accounts matters more than acquiring new casual shoppers.</w:t>
      </w:r>
    </w:p>
    <w:p w14:paraId="672E7FF5" w14:textId="7F5881A7" w:rsidR="009141E2" w:rsidRPr="00DC4B63" w:rsidRDefault="00000000" w:rsidP="00DC4B63">
      <w:pPr>
        <w:pStyle w:val="ListParagraph"/>
        <w:spacing w:after="40"/>
        <w:ind w:left="260"/>
        <w:rPr>
          <w:sz w:val="24"/>
          <w:szCs w:val="24"/>
        </w:rPr>
      </w:pPr>
      <w:r w:rsidRPr="00DC4B63">
        <w:rPr>
          <w:b/>
          <w:bCs/>
          <w:sz w:val="24"/>
          <w:szCs w:val="24"/>
        </w:rPr>
        <w:t xml:space="preserve">2. </w:t>
      </w:r>
      <w:r w:rsidRPr="00DC4B63">
        <w:rPr>
          <w:sz w:val="24"/>
          <w:szCs w:val="24"/>
        </w:rPr>
        <w:t>The top two products by units shipped (Paper Craft, Little Birdie; Medium Ceramic Storage Jar) carry 95–100% return rates</w:t>
      </w:r>
      <w:r w:rsidR="00EF33DA" w:rsidRPr="00DC4B63">
        <w:rPr>
          <w:sz w:val="24"/>
          <w:szCs w:val="24"/>
        </w:rPr>
        <w:t>,</w:t>
      </w:r>
      <w:r w:rsidRPr="00DC4B63">
        <w:rPr>
          <w:sz w:val="24"/>
          <w:szCs w:val="24"/>
        </w:rPr>
        <w:t xml:space="preserve"> raw sales-volume rankings alone are misleading without cross-checking returns.</w:t>
      </w:r>
    </w:p>
    <w:p w14:paraId="7DEFB650" w14:textId="77777777" w:rsidR="009141E2" w:rsidRPr="00DC4B63" w:rsidRDefault="00000000" w:rsidP="00DC4B63">
      <w:pPr>
        <w:pStyle w:val="ListParagraph"/>
        <w:spacing w:after="40"/>
        <w:ind w:left="260"/>
        <w:rPr>
          <w:sz w:val="24"/>
          <w:szCs w:val="24"/>
        </w:rPr>
      </w:pPr>
      <w:r w:rsidRPr="00DC4B63">
        <w:rPr>
          <w:b/>
          <w:bCs/>
          <w:sz w:val="24"/>
          <w:szCs w:val="24"/>
        </w:rPr>
        <w:t xml:space="preserve">3. </w:t>
      </w:r>
      <w:r w:rsidRPr="00DC4B63">
        <w:rPr>
          <w:sz w:val="24"/>
          <w:szCs w:val="24"/>
        </w:rPr>
        <w:t>A cluster of Chandelier T-Light Holder variants all show 60–66% return rates, suggesting a systemic packaging or quality issue worth operational follow-up.</w:t>
      </w:r>
    </w:p>
    <w:p w14:paraId="703212DF" w14:textId="029D460D" w:rsidR="009141E2" w:rsidRPr="00DC4B63" w:rsidRDefault="00000000" w:rsidP="00DC4B63">
      <w:pPr>
        <w:pStyle w:val="ListParagraph"/>
        <w:spacing w:after="40"/>
        <w:ind w:left="260"/>
        <w:rPr>
          <w:sz w:val="24"/>
          <w:szCs w:val="24"/>
        </w:rPr>
      </w:pPr>
      <w:r w:rsidRPr="00DC4B63">
        <w:rPr>
          <w:b/>
          <w:bCs/>
          <w:sz w:val="24"/>
          <w:szCs w:val="24"/>
        </w:rPr>
        <w:t xml:space="preserve">4. </w:t>
      </w:r>
      <w:r w:rsidRPr="00DC4B63">
        <w:rPr>
          <w:sz w:val="24"/>
          <w:szCs w:val="24"/>
        </w:rPr>
        <w:t>Sales are strongly seasonal, peaking in Q4</w:t>
      </w:r>
      <w:r w:rsidR="00EF33DA" w:rsidRPr="00DC4B63">
        <w:rPr>
          <w:sz w:val="24"/>
          <w:szCs w:val="24"/>
        </w:rPr>
        <w:t>,</w:t>
      </w:r>
      <w:r w:rsidRPr="00DC4B63">
        <w:rPr>
          <w:sz w:val="24"/>
          <w:szCs w:val="24"/>
        </w:rPr>
        <w:t xml:space="preserve"> useful for inventory and staffing planning ahead of the holiday period.</w:t>
      </w:r>
    </w:p>
    <w:p w14:paraId="4C0ADFEF" w14:textId="47FE0225" w:rsidR="009141E2" w:rsidRPr="00DC4B63" w:rsidRDefault="00000000" w:rsidP="00DC4B63">
      <w:pPr>
        <w:pStyle w:val="ListParagraph"/>
        <w:spacing w:after="40"/>
        <w:ind w:left="260"/>
        <w:rPr>
          <w:sz w:val="24"/>
          <w:szCs w:val="24"/>
        </w:rPr>
      </w:pPr>
      <w:r w:rsidRPr="00DC4B63">
        <w:rPr>
          <w:b/>
          <w:bCs/>
          <w:sz w:val="24"/>
          <w:szCs w:val="24"/>
        </w:rPr>
        <w:t xml:space="preserve">5. </w:t>
      </w:r>
      <w:r w:rsidRPr="00DC4B63">
        <w:rPr>
          <w:sz w:val="24"/>
          <w:szCs w:val="24"/>
        </w:rPr>
        <w:t>VIP customers show wide, variable spending (</w:t>
      </w:r>
      <w:r w:rsidR="00EF33DA" w:rsidRPr="00DC4B63">
        <w:rPr>
          <w:sz w:val="24"/>
          <w:szCs w:val="24"/>
        </w:rPr>
        <w:t>$</w:t>
      </w:r>
      <w:r w:rsidRPr="00DC4B63">
        <w:rPr>
          <w:sz w:val="24"/>
          <w:szCs w:val="24"/>
        </w:rPr>
        <w:t>1,000–</w:t>
      </w:r>
      <w:r w:rsidR="00EF33DA" w:rsidRPr="00DC4B63">
        <w:rPr>
          <w:sz w:val="24"/>
          <w:szCs w:val="24"/>
        </w:rPr>
        <w:t>$</w:t>
      </w:r>
      <w:r w:rsidRPr="00DC4B63">
        <w:rPr>
          <w:sz w:val="24"/>
          <w:szCs w:val="24"/>
        </w:rPr>
        <w:t>5,000) versus Standard customers' tight, predictable range (</w:t>
      </w:r>
      <w:r w:rsidR="00EF33DA" w:rsidRPr="00DC4B63">
        <w:rPr>
          <w:sz w:val="24"/>
          <w:szCs w:val="24"/>
        </w:rPr>
        <w:t>$</w:t>
      </w:r>
      <w:r w:rsidRPr="00DC4B63">
        <w:rPr>
          <w:sz w:val="24"/>
          <w:szCs w:val="24"/>
        </w:rPr>
        <w:t>100–</w:t>
      </w:r>
      <w:r w:rsidR="00EF33DA" w:rsidRPr="00DC4B63">
        <w:rPr>
          <w:sz w:val="24"/>
          <w:szCs w:val="24"/>
        </w:rPr>
        <w:t>$</w:t>
      </w:r>
      <w:r w:rsidRPr="00DC4B63">
        <w:rPr>
          <w:sz w:val="24"/>
          <w:szCs w:val="24"/>
        </w:rPr>
        <w:t>300), pointing to a need for distinct retention strategies per segment.</w:t>
      </w:r>
    </w:p>
    <w:sectPr w:rsidR="009141E2" w:rsidRPr="00DC4B6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A0AC5"/>
    <w:multiLevelType w:val="hybridMultilevel"/>
    <w:tmpl w:val="AAA4E136"/>
    <w:lvl w:ilvl="0" w:tplc="5BDA273A">
      <w:start w:val="1"/>
      <w:numFmt w:val="bullet"/>
      <w:lvlText w:val="●"/>
      <w:lvlJc w:val="left"/>
      <w:pPr>
        <w:ind w:left="720" w:hanging="360"/>
      </w:pPr>
    </w:lvl>
    <w:lvl w:ilvl="1" w:tplc="1EEA5B60">
      <w:start w:val="1"/>
      <w:numFmt w:val="bullet"/>
      <w:lvlText w:val="○"/>
      <w:lvlJc w:val="left"/>
      <w:pPr>
        <w:ind w:left="1440" w:hanging="360"/>
      </w:pPr>
    </w:lvl>
    <w:lvl w:ilvl="2" w:tplc="E9143E68">
      <w:start w:val="1"/>
      <w:numFmt w:val="bullet"/>
      <w:lvlText w:val="■"/>
      <w:lvlJc w:val="left"/>
      <w:pPr>
        <w:ind w:left="2160" w:hanging="360"/>
      </w:pPr>
    </w:lvl>
    <w:lvl w:ilvl="3" w:tplc="8CD430A6">
      <w:start w:val="1"/>
      <w:numFmt w:val="bullet"/>
      <w:lvlText w:val="●"/>
      <w:lvlJc w:val="left"/>
      <w:pPr>
        <w:ind w:left="2880" w:hanging="360"/>
      </w:pPr>
    </w:lvl>
    <w:lvl w:ilvl="4" w:tplc="BD3051AE">
      <w:start w:val="1"/>
      <w:numFmt w:val="bullet"/>
      <w:lvlText w:val="○"/>
      <w:lvlJc w:val="left"/>
      <w:pPr>
        <w:ind w:left="3600" w:hanging="360"/>
      </w:pPr>
    </w:lvl>
    <w:lvl w:ilvl="5" w:tplc="00983464">
      <w:start w:val="1"/>
      <w:numFmt w:val="bullet"/>
      <w:lvlText w:val="■"/>
      <w:lvlJc w:val="left"/>
      <w:pPr>
        <w:ind w:left="4320" w:hanging="360"/>
      </w:pPr>
    </w:lvl>
    <w:lvl w:ilvl="6" w:tplc="587266F0">
      <w:start w:val="1"/>
      <w:numFmt w:val="bullet"/>
      <w:lvlText w:val="●"/>
      <w:lvlJc w:val="left"/>
      <w:pPr>
        <w:ind w:left="5040" w:hanging="360"/>
      </w:pPr>
    </w:lvl>
    <w:lvl w:ilvl="7" w:tplc="983EF356">
      <w:start w:val="1"/>
      <w:numFmt w:val="bullet"/>
      <w:lvlText w:val="●"/>
      <w:lvlJc w:val="left"/>
      <w:pPr>
        <w:ind w:left="5760" w:hanging="360"/>
      </w:pPr>
    </w:lvl>
    <w:lvl w:ilvl="8" w:tplc="AEF682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512CEB"/>
    <w:multiLevelType w:val="hybridMultilevel"/>
    <w:tmpl w:val="02A00B7E"/>
    <w:lvl w:ilvl="0" w:tplc="1E5CFB1A">
      <w:start w:val="1"/>
      <w:numFmt w:val="bullet"/>
      <w:lvlText w:val="•"/>
      <w:lvlJc w:val="left"/>
      <w:pPr>
        <w:ind w:left="260" w:hanging="200"/>
      </w:pPr>
    </w:lvl>
    <w:lvl w:ilvl="1" w:tplc="DDBE4D4E">
      <w:numFmt w:val="decimal"/>
      <w:lvlText w:val=""/>
      <w:lvlJc w:val="left"/>
    </w:lvl>
    <w:lvl w:ilvl="2" w:tplc="18FE27EA">
      <w:numFmt w:val="decimal"/>
      <w:lvlText w:val=""/>
      <w:lvlJc w:val="left"/>
    </w:lvl>
    <w:lvl w:ilvl="3" w:tplc="9A10FED4">
      <w:numFmt w:val="decimal"/>
      <w:lvlText w:val=""/>
      <w:lvlJc w:val="left"/>
    </w:lvl>
    <w:lvl w:ilvl="4" w:tplc="A75AB44E">
      <w:numFmt w:val="decimal"/>
      <w:lvlText w:val=""/>
      <w:lvlJc w:val="left"/>
    </w:lvl>
    <w:lvl w:ilvl="5" w:tplc="9A66C6EA">
      <w:numFmt w:val="decimal"/>
      <w:lvlText w:val=""/>
      <w:lvlJc w:val="left"/>
    </w:lvl>
    <w:lvl w:ilvl="6" w:tplc="8190D8B0">
      <w:numFmt w:val="decimal"/>
      <w:lvlText w:val=""/>
      <w:lvlJc w:val="left"/>
    </w:lvl>
    <w:lvl w:ilvl="7" w:tplc="841EEA84">
      <w:numFmt w:val="decimal"/>
      <w:lvlText w:val=""/>
      <w:lvlJc w:val="left"/>
    </w:lvl>
    <w:lvl w:ilvl="8" w:tplc="8BBC1CC6">
      <w:numFmt w:val="decimal"/>
      <w:lvlText w:val=""/>
      <w:lvlJc w:val="left"/>
    </w:lvl>
  </w:abstractNum>
  <w:num w:numId="1" w16cid:durableId="1348679576">
    <w:abstractNumId w:val="0"/>
    <w:lvlOverride w:ilvl="0">
      <w:startOverride w:val="1"/>
    </w:lvlOverride>
  </w:num>
  <w:num w:numId="2" w16cid:durableId="4389925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E2"/>
    <w:rsid w:val="009141E2"/>
    <w:rsid w:val="00A713E8"/>
    <w:rsid w:val="00DC4B63"/>
    <w:rsid w:val="00EF33DA"/>
    <w:rsid w:val="00F6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0502"/>
  <w15:docId w15:val="{0820D55A-8DFA-4368-8920-A569ED5A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2026-07-14T01:46:00Z</dcterms:created>
  <dcterms:modified xsi:type="dcterms:W3CDTF">2026-07-14T03:18:00Z</dcterms:modified>
</cp:coreProperties>
</file>