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10"/>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sdt>
      <w:sdtPr>
        <w:rPr>
          <w:rFonts w:ascii="宋体" w:hAnsi="宋体" w:eastAsia="宋体" w:cstheme="minorBidi"/>
          <w:kern w:val="2"/>
          <w:sz w:val="21"/>
          <w:szCs w:val="24"/>
          <w:lang w:val="en-US" w:eastAsia="zh-CN" w:bidi="ar-SA"/>
        </w:rPr>
        <w:id w:val="147479686"/>
        <w15:color w:val="DBDBDB"/>
        <w:docPartObj>
          <w:docPartGallery w:val="Table of Contents"/>
          <w:docPartUnique/>
        </w:docPartObj>
      </w:sdtPr>
      <w:sdtEndPr>
        <w:rPr>
          <w:rFonts w:ascii="Times New Roman" w:hAnsi="Times New Roman" w:eastAsia="宋体" w:cstheme="minorBidi"/>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ascii="宋体" w:hAnsi="宋体" w:eastAsia="宋体" w:cstheme="minorBidi"/>
              <w:kern w:val="2"/>
              <w:sz w:val="21"/>
              <w:szCs w:val="24"/>
              <w:lang w:val="en-US" w:eastAsia="zh-CN" w:bidi="ar-SA"/>
            </w:rPr>
            <w:sectPr>
              <w:headerReference r:id="rId3" w:type="default"/>
              <w:pgSz w:w="11906" w:h="16838"/>
              <w:pgMar w:top="1417" w:right="1701" w:bottom="1417" w:left="1701" w:header="1134" w:footer="1134" w:gutter="0"/>
              <w:pgNumType w:fmt="decimal"/>
              <w:cols w:space="0" w:num="1"/>
              <w:rtlGutter w:val="0"/>
              <w:docGrid w:type="lines" w:linePitch="424"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eastAsia="黑体"/>
              <w:sz w:val="36"/>
              <w:szCs w:val="36"/>
              <w:lang w:val="en-US" w:eastAsia="zh-CN"/>
            </w:rPr>
          </w:pPr>
          <w:r>
            <w:rPr>
              <w:rFonts w:hint="eastAsia" w:eastAsia="黑体"/>
              <w:sz w:val="36"/>
              <w:szCs w:val="36"/>
              <w:lang w:val="en-US" w:eastAsia="zh-CN"/>
            </w:rPr>
            <w:t>目录</w:t>
          </w:r>
        </w:p>
        <w:p>
          <w:pPr>
            <w:pStyle w:val="15"/>
            <w:tabs>
              <w:tab w:val="right" w:leader="dot" w:pos="8504"/>
              <w:tab w:val="clear" w:pos="8505"/>
            </w:tabs>
          </w:pPr>
          <w:r>
            <w:fldChar w:fldCharType="begin"/>
          </w:r>
          <w:r>
            <w:instrText xml:space="preserve">TOC \o "1-3" \h \u </w:instrText>
          </w:r>
          <w:r>
            <w:fldChar w:fldCharType="separate"/>
          </w:r>
          <w:r>
            <w:fldChar w:fldCharType="begin"/>
          </w:r>
          <w:r>
            <w:instrText xml:space="preserve"> HYPERLINK \l _Toc14443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_Toc14443 \h </w:instrText>
          </w:r>
          <w:r>
            <w:fldChar w:fldCharType="separate"/>
          </w:r>
          <w:r>
            <w:t>1</w:t>
          </w:r>
          <w:r>
            <w:fldChar w:fldCharType="end"/>
          </w:r>
          <w:r>
            <w:fldChar w:fldCharType="end"/>
          </w:r>
        </w:p>
        <w:p>
          <w:pPr>
            <w:pStyle w:val="16"/>
            <w:tabs>
              <w:tab w:val="right" w:leader="dot" w:pos="8504"/>
              <w:tab w:val="clear" w:pos="8505"/>
            </w:tabs>
          </w:pPr>
          <w:r>
            <w:fldChar w:fldCharType="begin"/>
          </w:r>
          <w:r>
            <w:instrText xml:space="preserve"> HYPERLINK \l _Toc32358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_Toc32358 \h </w:instrText>
          </w:r>
          <w:r>
            <w:fldChar w:fldCharType="separate"/>
          </w:r>
          <w:r>
            <w:t>1</w:t>
          </w:r>
          <w:r>
            <w:fldChar w:fldCharType="end"/>
          </w:r>
          <w:r>
            <w:fldChar w:fldCharType="end"/>
          </w:r>
        </w:p>
        <w:p>
          <w:pPr>
            <w:pStyle w:val="15"/>
            <w:tabs>
              <w:tab w:val="right" w:leader="dot" w:pos="8504"/>
              <w:tab w:val="clear" w:pos="8505"/>
            </w:tabs>
          </w:pPr>
          <w:r>
            <w:fldChar w:fldCharType="begin"/>
          </w:r>
          <w:r>
            <w:instrText xml:space="preserve"> HYPERLINK \l _Toc28929 </w:instrText>
          </w:r>
          <w:r>
            <w:fldChar w:fldCharType="separate"/>
          </w:r>
          <w:r>
            <w:rPr>
              <w:rFonts w:hint="default" w:ascii="宋体" w:hAnsi="宋体" w:eastAsia="宋体" w:cs="宋体"/>
              <w:szCs w:val="36"/>
              <w:lang w:val="en-US" w:eastAsia="zh-CN"/>
            </w:rPr>
            <w:t xml:space="preserve">第2章 </w:t>
          </w:r>
          <w:r>
            <w:rPr>
              <w:rFonts w:hint="eastAsia"/>
              <w:lang w:val="en-US" w:eastAsia="zh-CN"/>
            </w:rPr>
            <w:t>材料性能表征</w:t>
          </w:r>
          <w:r>
            <w:tab/>
          </w:r>
          <w:r>
            <w:fldChar w:fldCharType="begin"/>
          </w:r>
          <w:r>
            <w:instrText xml:space="preserve"> PAGEREF _Toc28929 \h </w:instrText>
          </w:r>
          <w:r>
            <w:fldChar w:fldCharType="separate"/>
          </w:r>
          <w:r>
            <w:t>2</w:t>
          </w:r>
          <w:r>
            <w:fldChar w:fldCharType="end"/>
          </w:r>
          <w:r>
            <w:fldChar w:fldCharType="end"/>
          </w:r>
        </w:p>
        <w:p>
          <w:pPr>
            <w:pStyle w:val="16"/>
            <w:tabs>
              <w:tab w:val="right" w:leader="dot" w:pos="8504"/>
              <w:tab w:val="clear" w:pos="8505"/>
            </w:tabs>
          </w:pPr>
          <w:r>
            <w:fldChar w:fldCharType="begin"/>
          </w:r>
          <w:r>
            <w:instrText xml:space="preserve"> HYPERLINK \l _Toc9535 </w:instrText>
          </w:r>
          <w:r>
            <w:fldChar w:fldCharType="separate"/>
          </w:r>
          <w:r>
            <w:rPr>
              <w:rFonts w:hint="default" w:ascii="宋体" w:hAnsi="宋体" w:eastAsia="宋体" w:cs="宋体"/>
              <w:szCs w:val="30"/>
              <w:lang w:val="en-US" w:eastAsia="zh-CN"/>
            </w:rPr>
            <w:t xml:space="preserve">2.1 </w:t>
          </w:r>
          <w:r>
            <w:rPr>
              <w:rFonts w:hint="eastAsia"/>
              <w:lang w:val="en-US" w:eastAsia="zh-CN"/>
            </w:rPr>
            <w:t>CBC-PA复合材料的属性参数</w:t>
          </w:r>
          <w:r>
            <w:tab/>
          </w:r>
          <w:r>
            <w:fldChar w:fldCharType="begin"/>
          </w:r>
          <w:r>
            <w:instrText xml:space="preserve"> PAGEREF _Toc9535 \h </w:instrText>
          </w:r>
          <w:r>
            <w:fldChar w:fldCharType="separate"/>
          </w:r>
          <w:r>
            <w:t>2</w:t>
          </w:r>
          <w:r>
            <w:fldChar w:fldCharType="end"/>
          </w:r>
          <w:r>
            <w:fldChar w:fldCharType="end"/>
          </w:r>
        </w:p>
        <w:p>
          <w:pPr>
            <w:pStyle w:val="15"/>
            <w:tabs>
              <w:tab w:val="right" w:leader="dot" w:pos="8504"/>
              <w:tab w:val="clear" w:pos="8505"/>
            </w:tabs>
          </w:pPr>
          <w:r>
            <w:fldChar w:fldCharType="begin"/>
          </w:r>
          <w:r>
            <w:instrText xml:space="preserve"> HYPERLINK \l _Toc5958 </w:instrText>
          </w:r>
          <w:r>
            <w:fldChar w:fldCharType="separate"/>
          </w:r>
          <w:r>
            <w:rPr>
              <w:rFonts w:hint="default" w:ascii="宋体" w:hAnsi="宋体" w:eastAsia="宋体" w:cs="宋体"/>
              <w:szCs w:val="36"/>
              <w:lang w:val="en-US" w:eastAsia="zh-CN"/>
            </w:rPr>
            <w:t xml:space="preserve">第3章 </w:t>
          </w:r>
          <w:r>
            <w:rPr>
              <w:rFonts w:hint="eastAsia"/>
              <w:lang w:val="en-US" w:eastAsia="zh-CN"/>
            </w:rPr>
            <w:t>烧蚀行为的数学模型</w:t>
          </w:r>
          <w:r>
            <w:tab/>
          </w:r>
          <w:r>
            <w:fldChar w:fldCharType="begin"/>
          </w:r>
          <w:r>
            <w:instrText xml:space="preserve"> PAGEREF _Toc5958 \h </w:instrText>
          </w:r>
          <w:r>
            <w:fldChar w:fldCharType="separate"/>
          </w:r>
          <w:r>
            <w:t>3</w:t>
          </w:r>
          <w:r>
            <w:fldChar w:fldCharType="end"/>
          </w:r>
          <w:r>
            <w:fldChar w:fldCharType="end"/>
          </w:r>
        </w:p>
        <w:p>
          <w:pPr>
            <w:pStyle w:val="16"/>
            <w:tabs>
              <w:tab w:val="right" w:leader="dot" w:pos="8504"/>
              <w:tab w:val="clear" w:pos="8505"/>
            </w:tabs>
          </w:pPr>
          <w:r>
            <w:fldChar w:fldCharType="begin"/>
          </w:r>
          <w:r>
            <w:instrText xml:space="preserve"> HYPERLINK \l _Toc15393 </w:instrText>
          </w:r>
          <w:r>
            <w:fldChar w:fldCharType="separate"/>
          </w:r>
          <w:r>
            <w:rPr>
              <w:rFonts w:hint="default" w:ascii="宋体" w:hAnsi="宋体" w:eastAsia="宋体" w:cs="宋体"/>
              <w:szCs w:val="30"/>
              <w:lang w:val="en-US" w:eastAsia="zh-CN"/>
            </w:rPr>
            <w:t xml:space="preserve">3.1 </w:t>
          </w:r>
          <w:r>
            <w:rPr>
              <w:rFonts w:hint="eastAsia"/>
              <w:lang w:val="en-US" w:eastAsia="zh-CN"/>
            </w:rPr>
            <w:t>体积烧蚀的控制方程</w:t>
          </w:r>
          <w:r>
            <w:tab/>
          </w:r>
          <w:r>
            <w:fldChar w:fldCharType="begin"/>
          </w:r>
          <w:r>
            <w:instrText xml:space="preserve"> PAGEREF _Toc15393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_Toc10032 </w:instrText>
          </w:r>
          <w:r>
            <w:fldChar w:fldCharType="separate"/>
          </w:r>
          <w:r>
            <w:rPr>
              <w:rFonts w:hint="default" w:ascii="宋体" w:hAnsi="宋体" w:eastAsia="宋体" w:cs="宋体"/>
              <w:szCs w:val="28"/>
              <w:lang w:val="en-US" w:eastAsia="zh-CN"/>
            </w:rPr>
            <w:t xml:space="preserve">3.1.1 </w:t>
          </w:r>
          <w:r>
            <w:rPr>
              <w:rFonts w:hint="eastAsia"/>
              <w:lang w:val="en-US" w:eastAsia="zh-CN"/>
            </w:rPr>
            <w:t>材料参数插值模型</w:t>
          </w:r>
          <w:r>
            <w:tab/>
          </w:r>
          <w:r>
            <w:fldChar w:fldCharType="begin"/>
          </w:r>
          <w:r>
            <w:instrText xml:space="preserve"> PAGEREF _Toc10032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_Toc14802 </w:instrText>
          </w:r>
          <w:r>
            <w:fldChar w:fldCharType="separate"/>
          </w:r>
          <w:r>
            <w:rPr>
              <w:rFonts w:hint="default" w:ascii="宋体" w:hAnsi="宋体" w:eastAsia="宋体" w:cs="宋体"/>
              <w:szCs w:val="28"/>
              <w:lang w:val="en-US" w:eastAsia="zh-CN"/>
            </w:rPr>
            <w:t xml:space="preserve">3.1.2 </w:t>
          </w:r>
          <w:r>
            <w:rPr>
              <w:rFonts w:hint="default"/>
              <w:lang w:val="en-US" w:eastAsia="zh-CN"/>
            </w:rPr>
            <w:t>热分解动力学模型</w:t>
          </w:r>
          <w:r>
            <w:tab/>
          </w:r>
          <w:r>
            <w:fldChar w:fldCharType="begin"/>
          </w:r>
          <w:r>
            <w:instrText xml:space="preserve"> PAGEREF _Toc14802 \h </w:instrText>
          </w:r>
          <w:r>
            <w:fldChar w:fldCharType="separate"/>
          </w:r>
          <w:r>
            <w:t>3</w:t>
          </w:r>
          <w:r>
            <w:fldChar w:fldCharType="end"/>
          </w:r>
          <w:r>
            <w:fldChar w:fldCharType="end"/>
          </w:r>
        </w:p>
        <w:p>
          <w:pPr>
            <w:pStyle w:val="15"/>
            <w:tabs>
              <w:tab w:val="right" w:leader="dot" w:pos="8504"/>
              <w:tab w:val="clear" w:pos="8505"/>
            </w:tabs>
          </w:pPr>
          <w:r>
            <w:fldChar w:fldCharType="begin"/>
          </w:r>
          <w:r>
            <w:instrText xml:space="preserve"> HYPERLINK \l _Toc9327 </w:instrText>
          </w:r>
          <w:r>
            <w:fldChar w:fldCharType="separate"/>
          </w:r>
          <w:r>
            <w:rPr>
              <w:rFonts w:hint="default" w:ascii="宋体" w:hAnsi="宋体" w:eastAsia="宋体" w:cs="宋体"/>
              <w:szCs w:val="36"/>
              <w:lang w:val="en-US" w:eastAsia="zh-CN"/>
            </w:rPr>
            <w:t xml:space="preserve">第4章 </w:t>
          </w:r>
          <w:r>
            <w:rPr>
              <w:rFonts w:hint="eastAsia"/>
              <w:lang w:val="en-US" w:eastAsia="zh-CN"/>
            </w:rPr>
            <w:t>烧蚀和热响应的数值仿真</w:t>
          </w:r>
          <w:r>
            <w:tab/>
          </w:r>
          <w:r>
            <w:fldChar w:fldCharType="begin"/>
          </w:r>
          <w:r>
            <w:instrText xml:space="preserve"> PAGEREF _Toc9327 \h </w:instrText>
          </w:r>
          <w:r>
            <w:fldChar w:fldCharType="separate"/>
          </w:r>
          <w:r>
            <w:t>4</w:t>
          </w:r>
          <w:r>
            <w:fldChar w:fldCharType="end"/>
          </w:r>
          <w:r>
            <w:fldChar w:fldCharType="end"/>
          </w:r>
        </w:p>
        <w:p>
          <w:pPr>
            <w:pStyle w:val="16"/>
            <w:tabs>
              <w:tab w:val="right" w:leader="dot" w:pos="8504"/>
              <w:tab w:val="clear" w:pos="8505"/>
            </w:tabs>
          </w:pPr>
          <w:r>
            <w:fldChar w:fldCharType="begin"/>
          </w:r>
          <w:r>
            <w:instrText xml:space="preserve"> HYPERLINK \l _Toc25405 </w:instrText>
          </w:r>
          <w:r>
            <w:fldChar w:fldCharType="separate"/>
          </w:r>
          <w:r>
            <w:rPr>
              <w:rFonts w:hint="default" w:ascii="宋体" w:hAnsi="宋体" w:eastAsia="宋体" w:cs="宋体"/>
              <w:szCs w:val="30"/>
              <w:lang w:val="en-US" w:eastAsia="zh-CN"/>
            </w:rPr>
            <w:t xml:space="preserve">4.1 </w:t>
          </w:r>
          <w:r>
            <w:rPr>
              <w:rFonts w:hint="eastAsia"/>
              <w:lang w:val="en-US" w:eastAsia="zh-CN"/>
            </w:rPr>
            <w:t>CBC-PA复合材料的算例分析</w:t>
          </w:r>
          <w:r>
            <w:tab/>
          </w:r>
          <w:r>
            <w:fldChar w:fldCharType="begin"/>
          </w:r>
          <w:r>
            <w:instrText xml:space="preserve"> PAGEREF _Toc25405 \h </w:instrText>
          </w:r>
          <w:r>
            <w:fldChar w:fldCharType="separate"/>
          </w:r>
          <w:r>
            <w:t>4</w:t>
          </w:r>
          <w:r>
            <w:fldChar w:fldCharType="end"/>
          </w:r>
          <w:r>
            <w:fldChar w:fldCharType="end"/>
          </w:r>
        </w:p>
        <w:p>
          <w:pPr>
            <w:pStyle w:val="15"/>
            <w:tabs>
              <w:tab w:val="right" w:leader="dot" w:pos="8504"/>
              <w:tab w:val="clear" w:pos="8505"/>
            </w:tabs>
          </w:pPr>
          <w:r>
            <w:fldChar w:fldCharType="begin"/>
          </w:r>
          <w:r>
            <w:instrText xml:space="preserve"> HYPERLINK \l _Toc14420 </w:instrText>
          </w:r>
          <w:r>
            <w:fldChar w:fldCharType="separate"/>
          </w:r>
          <w:r>
            <w:rPr>
              <w:rFonts w:hint="eastAsia" w:eastAsia="黑体"/>
              <w:szCs w:val="36"/>
              <w:lang w:val="en-US" w:eastAsia="zh-CN"/>
            </w:rPr>
            <w:t>参考文献</w:t>
          </w:r>
          <w:r>
            <w:tab/>
          </w:r>
          <w:r>
            <w:fldChar w:fldCharType="begin"/>
          </w:r>
          <w:r>
            <w:instrText xml:space="preserve"> PAGEREF _Toc14420 \h </w:instrText>
          </w:r>
          <w:r>
            <w:fldChar w:fldCharType="separate"/>
          </w:r>
          <w:r>
            <w:t>6</w:t>
          </w:r>
          <w:r>
            <w:fldChar w:fldCharType="end"/>
          </w:r>
          <w:r>
            <w:fldChar w:fldCharType="end"/>
          </w:r>
        </w:p>
        <w:p>
          <w:r>
            <w:fldChar w:fldCharType="end"/>
          </w:r>
        </w:p>
      </w:sdtContent>
    </w:sdt>
    <w:p>
      <w:pPr>
        <w:pStyle w:val="2"/>
        <w:bidi w:val="0"/>
        <w:ind w:left="432" w:leftChars="0" w:hanging="432" w:firstLineChars="0"/>
        <w:rPr>
          <w:rFonts w:hint="eastAsia"/>
        </w:rPr>
        <w:sectPr>
          <w:headerReference r:id="rId4" w:type="default"/>
          <w:footerReference r:id="rId5" w:type="default"/>
          <w:pgSz w:w="11906" w:h="16838"/>
          <w:pgMar w:top="1417" w:right="1701" w:bottom="1417" w:left="1701" w:header="1134" w:footer="1134" w:gutter="0"/>
          <w:pgNumType w:fmt="upperRoman" w:start="1"/>
          <w:cols w:space="0" w:num="1"/>
          <w:rtlGutter w:val="0"/>
          <w:docGrid w:type="lines" w:linePitch="424" w:charSpace="0"/>
        </w:sectPr>
      </w:pPr>
      <w:bookmarkStart w:id="0" w:name="_Toc14443"/>
    </w:p>
    <w:p>
      <w:pPr>
        <w:pStyle w:val="2"/>
        <w:bidi w:val="0"/>
        <w:ind w:left="432" w:leftChars="0" w:hanging="432" w:firstLineChars="0"/>
        <w:rPr>
          <w:rFonts w:hint="eastAsia"/>
        </w:rPr>
      </w:pPr>
      <w:r>
        <w:rPr>
          <w:rFonts w:hint="eastAsia"/>
        </w:rPr>
        <w:t>绪论</w:t>
      </w:r>
      <w:bookmarkEnd w:id="0"/>
    </w:p>
    <w:p>
      <w:pPr>
        <w:pStyle w:val="3"/>
        <w:bidi w:val="0"/>
        <w:ind w:left="575" w:leftChars="0" w:hanging="575" w:firstLineChars="0"/>
        <w:rPr>
          <w:rFonts w:hint="eastAsia"/>
        </w:rPr>
      </w:pPr>
      <w:bookmarkStart w:id="1" w:name="_Toc32358"/>
      <w:r>
        <w:rPr>
          <w:rFonts w:hint="eastAsia"/>
        </w:rPr>
        <w:t>课题背景及研究的目的和意义</w:t>
      </w:r>
      <w:bookmarkEnd w:id="1"/>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superscript"/>
          <w:lang w:eastAsia="zh-CN"/>
        </w:rPr>
        <w:fldChar w:fldCharType="begin"/>
      </w:r>
      <w:r>
        <w:rPr>
          <w:rFonts w:hint="eastAsia"/>
          <w:vertAlign w:val="superscript"/>
          <w:lang w:eastAsia="zh-CN"/>
        </w:rPr>
        <w:instrText xml:space="preserve"> REF _Ref18345 \w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superscript"/>
          <w:lang w:eastAsia="zh-CN"/>
        </w:rPr>
        <w:fldChar w:fldCharType="begin"/>
      </w:r>
      <w:r>
        <w:rPr>
          <w:rFonts w:hint="eastAsia"/>
          <w:vertAlign w:val="superscript"/>
          <w:lang w:eastAsia="zh-CN"/>
        </w:rPr>
        <w:instrText xml:space="preserve"> REF _Ref18479 \w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superscript"/>
          <w:lang w:eastAsia="zh-CN"/>
        </w:rPr>
        <w:fldChar w:fldCharType="begin"/>
      </w:r>
      <w:r>
        <w:rPr>
          <w:rFonts w:hint="eastAsia"/>
          <w:vertAlign w:val="superscript"/>
          <w:lang w:eastAsia="zh-CN"/>
        </w:rPr>
        <w:instrText xml:space="preserve"> REF _Ref18538 \w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superscript"/>
          <w:lang w:eastAsia="zh-CN"/>
        </w:rPr>
        <w:fldChar w:fldCharType="begin"/>
      </w:r>
      <w:r>
        <w:rPr>
          <w:rFonts w:hint="eastAsia"/>
          <w:vertAlign w:val="superscript"/>
          <w:lang w:eastAsia="zh-CN"/>
        </w:rPr>
        <w:instrText xml:space="preserve"> REF _Ref18590 \w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vertAlign w:val="baseline"/>
        </w:rPr>
        <w:t>。低成本和高比效的轻量化航天器设计已成必然趋势，因此各国都不遗余力地发展新型轻质烧蚀型热防护材料</w:t>
      </w:r>
      <w:r>
        <w:rPr>
          <w:rFonts w:hint="eastAsia"/>
          <w:vertAlign w:val="superscript"/>
          <w:lang w:val="en-US" w:eastAsia="zh-CN"/>
        </w:rPr>
        <w:fldChar w:fldCharType="begin"/>
      </w:r>
      <w:r>
        <w:rPr>
          <w:rFonts w:hint="eastAsia"/>
          <w:vertAlign w:val="superscript"/>
          <w:lang w:val="en-US" w:eastAsia="zh-CN"/>
        </w:rPr>
        <w:instrText xml:space="preserve"> REF _Ref18616 \w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bookmarkStart w:id="2" w:name="_Toc28929"/>
      <w:r>
        <w:rPr>
          <w:rFonts w:hint="eastAsia"/>
          <w:lang w:val="en-US" w:eastAsia="zh-CN"/>
        </w:rPr>
        <w:t>材料性能表征</w:t>
      </w:r>
      <w:bookmarkEnd w:id="2"/>
    </w:p>
    <w:p>
      <w:pPr>
        <w:pStyle w:val="3"/>
        <w:bidi w:val="0"/>
        <w:ind w:left="575" w:leftChars="0" w:hanging="575" w:firstLineChars="0"/>
        <w:rPr>
          <w:rFonts w:hint="eastAsia"/>
          <w:lang w:val="en-US" w:eastAsia="zh-CN"/>
        </w:rPr>
      </w:pPr>
      <w:bookmarkStart w:id="3" w:name="_Toc9535"/>
      <w:r>
        <w:rPr>
          <w:rFonts w:hint="eastAsia"/>
          <w:lang w:val="en-US" w:eastAsia="zh-CN"/>
        </w:rPr>
        <w:t>CBC-PA复合材料的属性参数</w:t>
      </w:r>
      <w:bookmarkEnd w:id="3"/>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1"/>
        <w:gridCol w:w="1231"/>
        <w:gridCol w:w="1999"/>
        <w:gridCol w:w="1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98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材料CBC-PA</w:t>
            </w:r>
          </w:p>
        </w:tc>
        <w:tc>
          <w:tcPr>
            <w:tcW w:w="1130"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体积密度g/cm3</w:t>
            </w:r>
          </w:p>
        </w:tc>
        <w:tc>
          <w:tcPr>
            <w:tcW w:w="70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孔隙度%</w:t>
            </w:r>
          </w:p>
        </w:tc>
        <w:tc>
          <w:tcPr>
            <w:tcW w:w="114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CBC含量vol.%</w:t>
            </w:r>
          </w:p>
        </w:tc>
        <w:tc>
          <w:tcPr>
            <w:tcW w:w="102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PA含量vol.%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1130" w:type="pct"/>
            <w:tcBorders>
              <w:top w:val="single" w:color="auto" w:sz="4" w:space="0"/>
            </w:tcBorders>
            <w:vAlign w:val="center"/>
          </w:tcPr>
          <w:p>
            <w:pPr>
              <w:pStyle w:val="21"/>
              <w:bidi w:val="0"/>
              <w:rPr>
                <w:rFonts w:hint="eastAsia"/>
                <w:lang w:val="en-US" w:eastAsia="zh-CN"/>
              </w:rPr>
            </w:pPr>
            <w:r>
              <w:rPr>
                <w:rFonts w:hint="default"/>
                <w:lang w:val="en-US" w:eastAsia="zh-CN"/>
              </w:rPr>
              <w:t>0.247</w:t>
            </w:r>
          </w:p>
        </w:tc>
        <w:tc>
          <w:tcPr>
            <w:tcW w:w="706" w:type="pct"/>
            <w:tcBorders>
              <w:top w:val="single" w:color="auto" w:sz="4" w:space="0"/>
            </w:tcBorders>
            <w:vAlign w:val="center"/>
          </w:tcPr>
          <w:p>
            <w:pPr>
              <w:pStyle w:val="21"/>
              <w:bidi w:val="0"/>
              <w:rPr>
                <w:rFonts w:hint="eastAsia"/>
                <w:lang w:val="en-US" w:eastAsia="zh-CN"/>
              </w:rPr>
            </w:pPr>
            <w:r>
              <w:rPr>
                <w:rFonts w:hint="default"/>
                <w:lang w:val="en-US" w:eastAsia="zh-CN"/>
              </w:rPr>
              <w:t>81.9</w:t>
            </w:r>
          </w:p>
        </w:tc>
        <w:tc>
          <w:tcPr>
            <w:tcW w:w="1146" w:type="pct"/>
            <w:tcBorders>
              <w:top w:val="single" w:color="auto" w:sz="4" w:space="0"/>
            </w:tcBorders>
            <w:vAlign w:val="center"/>
          </w:tcPr>
          <w:p>
            <w:pPr>
              <w:pStyle w:val="21"/>
              <w:bidi w:val="0"/>
              <w:rPr>
                <w:rFonts w:hint="eastAsia"/>
                <w:lang w:val="en-US" w:eastAsia="zh-CN"/>
              </w:rPr>
            </w:pPr>
            <w:r>
              <w:rPr>
                <w:rFonts w:hint="default"/>
                <w:lang w:val="en-US" w:eastAsia="zh-CN"/>
              </w:rPr>
              <w:t>7.40</w:t>
            </w:r>
          </w:p>
        </w:tc>
        <w:tc>
          <w:tcPr>
            <w:tcW w:w="1028" w:type="pct"/>
            <w:tcBorders>
              <w:top w:val="single" w:color="auto" w:sz="4" w:space="0"/>
            </w:tcBorders>
            <w:vAlign w:val="center"/>
          </w:tcPr>
          <w:p>
            <w:pPr>
              <w:pStyle w:val="21"/>
              <w:bidi w:val="0"/>
              <w:rPr>
                <w:rFonts w:hint="eastAsia"/>
                <w:lang w:val="en-US" w:eastAsia="zh-CN"/>
              </w:rPr>
            </w:pPr>
            <w:r>
              <w:rPr>
                <w:rFonts w:hint="default"/>
                <w:lang w:val="en-US" w:eastAsia="zh-CN"/>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0.288</w:t>
            </w:r>
          </w:p>
        </w:tc>
        <w:tc>
          <w:tcPr>
            <w:tcW w:w="706" w:type="pct"/>
            <w:tcBorders>
              <w:bottom w:val="nil"/>
            </w:tcBorders>
            <w:vAlign w:val="center"/>
          </w:tcPr>
          <w:p>
            <w:pPr>
              <w:pStyle w:val="21"/>
              <w:bidi w:val="0"/>
              <w:rPr>
                <w:rFonts w:hint="eastAsia"/>
                <w:lang w:val="en-US" w:eastAsia="zh-CN"/>
              </w:rPr>
            </w:pPr>
            <w:r>
              <w:rPr>
                <w:rFonts w:hint="default"/>
                <w:lang w:val="en-US" w:eastAsia="zh-CN"/>
              </w:rPr>
              <w:t>79.4</w:t>
            </w:r>
          </w:p>
        </w:tc>
        <w:tc>
          <w:tcPr>
            <w:tcW w:w="1146" w:type="pct"/>
            <w:tcBorders>
              <w:bottom w:val="nil"/>
            </w:tcBorders>
            <w:vAlign w:val="center"/>
          </w:tcPr>
          <w:p>
            <w:pPr>
              <w:pStyle w:val="21"/>
              <w:bidi w:val="0"/>
              <w:rPr>
                <w:rFonts w:hint="eastAsia"/>
                <w:lang w:val="en-US" w:eastAsia="zh-CN"/>
              </w:rPr>
            </w:pPr>
            <w:r>
              <w:rPr>
                <w:rFonts w:hint="default"/>
                <w:lang w:val="en-US" w:eastAsia="zh-CN"/>
              </w:rPr>
              <w:t>10.20</w:t>
            </w:r>
          </w:p>
        </w:tc>
        <w:tc>
          <w:tcPr>
            <w:tcW w:w="1028" w:type="pct"/>
            <w:tcBorders>
              <w:bottom w:val="nil"/>
            </w:tcBorders>
            <w:vAlign w:val="center"/>
          </w:tcPr>
          <w:p>
            <w:pPr>
              <w:pStyle w:val="21"/>
              <w:bidi w:val="0"/>
              <w:rPr>
                <w:rFonts w:hint="eastAsia"/>
                <w:lang w:val="en-US" w:eastAsia="zh-CN"/>
              </w:rPr>
            </w:pPr>
            <w:r>
              <w:rPr>
                <w:rFonts w:hint="default"/>
                <w:lang w:val="en-US" w:eastAsia="zh-CN"/>
              </w:rPr>
              <w:t>10.40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1130" w:type="pct"/>
            <w:tcBorders>
              <w:top w:val="nil"/>
            </w:tcBorders>
            <w:vAlign w:val="center"/>
          </w:tcPr>
          <w:p>
            <w:pPr>
              <w:pStyle w:val="21"/>
              <w:bidi w:val="0"/>
              <w:rPr>
                <w:rFonts w:hint="eastAsia"/>
                <w:lang w:val="en-US" w:eastAsia="zh-CN"/>
              </w:rPr>
            </w:pPr>
            <w:r>
              <w:rPr>
                <w:rFonts w:hint="default"/>
                <w:lang w:val="en-US" w:eastAsia="zh-CN"/>
              </w:rPr>
              <w:t>0.312</w:t>
            </w:r>
          </w:p>
        </w:tc>
        <w:tc>
          <w:tcPr>
            <w:tcW w:w="706" w:type="pct"/>
            <w:tcBorders>
              <w:top w:val="nil"/>
            </w:tcBorders>
            <w:vAlign w:val="center"/>
          </w:tcPr>
          <w:p>
            <w:pPr>
              <w:pStyle w:val="21"/>
              <w:bidi w:val="0"/>
              <w:rPr>
                <w:rFonts w:hint="eastAsia"/>
                <w:lang w:val="en-US" w:eastAsia="zh-CN"/>
              </w:rPr>
            </w:pPr>
            <w:r>
              <w:rPr>
                <w:rFonts w:hint="default"/>
                <w:lang w:val="en-US" w:eastAsia="zh-CN"/>
              </w:rPr>
              <w:t>78.0</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0.314</w:t>
            </w:r>
          </w:p>
        </w:tc>
        <w:tc>
          <w:tcPr>
            <w:tcW w:w="706" w:type="pct"/>
            <w:tcBorders>
              <w:bottom w:val="nil"/>
            </w:tcBorders>
            <w:vAlign w:val="center"/>
          </w:tcPr>
          <w:p>
            <w:pPr>
              <w:pStyle w:val="21"/>
              <w:bidi w:val="0"/>
              <w:rPr>
                <w:rFonts w:hint="eastAsia"/>
                <w:lang w:val="en-US" w:eastAsia="zh-CN"/>
              </w:rPr>
            </w:pPr>
            <w:r>
              <w:rPr>
                <w:rFonts w:hint="default"/>
                <w:lang w:val="en-US" w:eastAsia="zh-CN"/>
              </w:rPr>
              <w:t>77.8</w:t>
            </w:r>
          </w:p>
        </w:tc>
        <w:tc>
          <w:tcPr>
            <w:tcW w:w="1146" w:type="pct"/>
            <w:tcBorders>
              <w:bottom w:val="nil"/>
            </w:tcBorders>
            <w:vAlign w:val="center"/>
          </w:tcPr>
          <w:p>
            <w:pPr>
              <w:pStyle w:val="21"/>
              <w:bidi w:val="0"/>
              <w:rPr>
                <w:rFonts w:hint="eastAsia"/>
                <w:lang w:val="en-US" w:eastAsia="zh-CN"/>
              </w:rPr>
            </w:pPr>
            <w:r>
              <w:rPr>
                <w:rFonts w:hint="default"/>
                <w:lang w:val="en-US" w:eastAsia="zh-CN"/>
              </w:rPr>
              <w:t>12.00</w:t>
            </w:r>
          </w:p>
        </w:tc>
        <w:tc>
          <w:tcPr>
            <w:tcW w:w="1028" w:type="pct"/>
            <w:tcBorders>
              <w:bottom w:val="nil"/>
            </w:tcBorders>
            <w:vAlign w:val="center"/>
          </w:tcPr>
          <w:p>
            <w:pPr>
              <w:pStyle w:val="21"/>
              <w:bidi w:val="0"/>
              <w:rPr>
                <w:rFonts w:hint="eastAsia"/>
                <w:lang w:val="en-US" w:eastAsia="zh-CN"/>
              </w:rPr>
            </w:pPr>
            <w:r>
              <w:rPr>
                <w:rFonts w:hint="default"/>
                <w:lang w:val="en-US" w:eastAsia="zh-CN"/>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1130" w:type="pct"/>
            <w:tcBorders>
              <w:top w:val="nil"/>
            </w:tcBorders>
            <w:vAlign w:val="center"/>
          </w:tcPr>
          <w:p>
            <w:pPr>
              <w:pStyle w:val="21"/>
              <w:bidi w:val="0"/>
              <w:rPr>
                <w:rFonts w:hint="eastAsia"/>
                <w:lang w:val="en-US" w:eastAsia="zh-CN"/>
              </w:rPr>
            </w:pPr>
            <w:r>
              <w:rPr>
                <w:rFonts w:hint="default"/>
                <w:lang w:val="en-US" w:eastAsia="zh-CN"/>
              </w:rPr>
              <w:t>0.319</w:t>
            </w:r>
          </w:p>
        </w:tc>
        <w:tc>
          <w:tcPr>
            <w:tcW w:w="706" w:type="pct"/>
            <w:tcBorders>
              <w:top w:val="nil"/>
            </w:tcBorders>
            <w:vAlign w:val="center"/>
          </w:tcPr>
          <w:p>
            <w:pPr>
              <w:pStyle w:val="21"/>
              <w:bidi w:val="0"/>
              <w:rPr>
                <w:rFonts w:hint="eastAsia"/>
                <w:lang w:val="en-US" w:eastAsia="zh-CN"/>
              </w:rPr>
            </w:pPr>
            <w:r>
              <w:rPr>
                <w:rFonts w:hint="default"/>
                <w:lang w:val="en-US" w:eastAsia="zh-CN"/>
              </w:rPr>
              <w:t>77.4</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12" w:space="0"/>
            </w:tcBorders>
            <w:vAlign w:val="center"/>
          </w:tcPr>
          <w:p>
            <w:pPr>
              <w:pStyle w:val="21"/>
              <w:bidi w:val="0"/>
              <w:rPr>
                <w:rFonts w:hint="eastAsia"/>
                <w:lang w:val="en-US" w:eastAsia="zh-CN"/>
              </w:rPr>
            </w:pPr>
          </w:p>
        </w:tc>
        <w:tc>
          <w:tcPr>
            <w:tcW w:w="1130" w:type="pct"/>
            <w:tcBorders>
              <w:bottom w:val="single" w:color="auto" w:sz="12" w:space="0"/>
            </w:tcBorders>
            <w:vAlign w:val="center"/>
          </w:tcPr>
          <w:p>
            <w:pPr>
              <w:pStyle w:val="21"/>
              <w:bidi w:val="0"/>
              <w:rPr>
                <w:rFonts w:hint="eastAsia"/>
                <w:lang w:val="en-US" w:eastAsia="zh-CN"/>
              </w:rPr>
            </w:pPr>
            <w:r>
              <w:rPr>
                <w:rFonts w:hint="default"/>
                <w:lang w:val="en-US" w:eastAsia="zh-CN"/>
              </w:rPr>
              <w:t>0.346</w:t>
            </w:r>
          </w:p>
        </w:tc>
        <w:tc>
          <w:tcPr>
            <w:tcW w:w="706" w:type="pct"/>
            <w:tcBorders>
              <w:bottom w:val="single" w:color="auto" w:sz="12" w:space="0"/>
            </w:tcBorders>
            <w:vAlign w:val="center"/>
          </w:tcPr>
          <w:p>
            <w:pPr>
              <w:pStyle w:val="21"/>
              <w:bidi w:val="0"/>
              <w:rPr>
                <w:rFonts w:hint="eastAsia"/>
                <w:lang w:val="en-US" w:eastAsia="zh-CN"/>
              </w:rPr>
            </w:pPr>
            <w:r>
              <w:rPr>
                <w:rFonts w:hint="default"/>
                <w:lang w:val="en-US" w:eastAsia="zh-CN"/>
              </w:rPr>
              <w:t>75.9</w:t>
            </w:r>
          </w:p>
        </w:tc>
        <w:tc>
          <w:tcPr>
            <w:tcW w:w="1146" w:type="pct"/>
            <w:tcBorders>
              <w:bottom w:val="single" w:color="auto" w:sz="12" w:space="0"/>
            </w:tcBorders>
            <w:vAlign w:val="center"/>
          </w:tcPr>
          <w:p>
            <w:pPr>
              <w:pStyle w:val="21"/>
              <w:bidi w:val="0"/>
              <w:rPr>
                <w:rFonts w:hint="eastAsia"/>
                <w:lang w:val="en-US" w:eastAsia="zh-CN"/>
              </w:rPr>
            </w:pPr>
            <w:r>
              <w:rPr>
                <w:rFonts w:hint="default"/>
                <w:lang w:val="en-US" w:eastAsia="zh-CN"/>
              </w:rPr>
              <w:t>14.20</w:t>
            </w:r>
          </w:p>
        </w:tc>
        <w:tc>
          <w:tcPr>
            <w:tcW w:w="1028" w:type="pct"/>
            <w:tcBorders>
              <w:bottom w:val="single" w:color="auto" w:sz="12" w:space="0"/>
            </w:tcBorders>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bookmarkStart w:id="4" w:name="_Toc5958"/>
      <w:r>
        <w:rPr>
          <w:rFonts w:hint="eastAsia"/>
          <w:lang w:val="en-US" w:eastAsia="zh-CN"/>
        </w:rPr>
        <w:t>烧蚀行为的数学模型</w:t>
      </w:r>
      <w:bookmarkEnd w:id="4"/>
    </w:p>
    <w:p>
      <w:pPr>
        <w:pStyle w:val="3"/>
        <w:bidi w:val="0"/>
        <w:ind w:left="575" w:leftChars="0" w:hanging="575" w:firstLineChars="0"/>
        <w:rPr>
          <w:rFonts w:hint="eastAsia"/>
          <w:lang w:val="en-US" w:eastAsia="zh-CN"/>
        </w:rPr>
      </w:pPr>
      <w:bookmarkStart w:id="5" w:name="_Toc15393"/>
      <w:r>
        <w:rPr>
          <w:rFonts w:hint="eastAsia"/>
          <w:lang w:val="en-US" w:eastAsia="zh-CN"/>
        </w:rPr>
        <w:t>体积烧蚀的控制方程</w:t>
      </w:r>
      <w:bookmarkEnd w:id="5"/>
    </w:p>
    <w:p>
      <w:pPr>
        <w:pStyle w:val="4"/>
        <w:bidi w:val="0"/>
        <w:ind w:left="720" w:leftChars="0" w:hanging="720" w:firstLineChars="0"/>
        <w:rPr>
          <w:rFonts w:hint="eastAsia"/>
          <w:lang w:val="en-US" w:eastAsia="zh-CN"/>
        </w:rPr>
      </w:pPr>
      <w:bookmarkStart w:id="6" w:name="_Toc10032"/>
      <w:r>
        <w:rPr>
          <w:rFonts w:hint="eastAsia"/>
          <w:lang w:val="en-US" w:eastAsia="zh-CN"/>
        </w:rPr>
        <w:t>材料参数插值模型</w:t>
      </w:r>
      <w:bookmarkEnd w:id="6"/>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bookmarkStart w:id="7" w:name="_Toc14802"/>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bookmarkEnd w:id="7"/>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bookmarkStart w:id="8" w:name="_Toc9327"/>
      <w:r>
        <w:rPr>
          <w:rFonts w:hint="eastAsia"/>
          <w:lang w:val="en-US" w:eastAsia="zh-CN"/>
        </w:rPr>
        <w:t>烧蚀和热响应的数值仿真</w:t>
      </w:r>
      <w:bookmarkEnd w:id="8"/>
    </w:p>
    <w:p>
      <w:pPr>
        <w:pStyle w:val="3"/>
        <w:bidi w:val="0"/>
        <w:ind w:left="575" w:leftChars="0" w:hanging="575" w:firstLineChars="0"/>
        <w:rPr>
          <w:rFonts w:hint="eastAsia"/>
          <w:lang w:val="en-US" w:eastAsia="zh-CN"/>
        </w:rPr>
      </w:pPr>
      <w:bookmarkStart w:id="9" w:name="_Toc25405"/>
      <w:r>
        <w:rPr>
          <w:rFonts w:hint="eastAsia"/>
          <w:lang w:val="en-US" w:eastAsia="zh-CN"/>
        </w:rPr>
        <w:t>CBC-PA复合材料的算例分析</w:t>
      </w:r>
      <w:bookmarkEnd w:id="9"/>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如图4-1和图4-2所示，分别为中轴线上的温度随时间的演化和沿轴向坐标的分布。原始壁面在大热流作用下迅速升温到2400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如图4</w:t>
      </w:r>
      <w:bookmarkStart w:id="19" w:name="_GoBack"/>
      <w:bookmarkEnd w:id="19"/>
      <w:r>
        <w:rPr>
          <w:rFonts w:hint="eastAsia"/>
          <w:lang w:val="en-US" w:eastAsia="zh-CN"/>
        </w:rPr>
        <w:t>-3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9"/>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bookmarkStart w:id="10" w:name="_Ref2325"/>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0"/>
      <w:r>
        <w:rPr>
          <w:rFonts w:hint="eastAsia"/>
          <w:lang w:val="en-US" w:eastAsia="zh-CN"/>
        </w:rPr>
        <w:t xml:space="preserve">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20"/>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bookmarkStart w:id="11" w:name="_Ref2351"/>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1"/>
      <w:r>
        <w:rPr>
          <w:rFonts w:hint="eastAsia"/>
          <w:lang w:val="en-US" w:eastAsia="zh-CN"/>
        </w:rPr>
        <w:t xml:space="preserve">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21"/>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bookmarkStart w:id="12" w:name="_Ref2410"/>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12"/>
      <w:r>
        <w:rPr>
          <w:rFonts w:hint="eastAsia"/>
          <w:lang w:val="en-US" w:eastAsia="zh-CN"/>
        </w:rPr>
        <w:t xml:space="preserve">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sectPr>
          <w:headerReference r:id="rId6" w:type="default"/>
          <w:footerReference r:id="rId7" w:type="default"/>
          <w:pgSz w:w="11906" w:h="16838"/>
          <w:pgMar w:top="1417" w:right="1701" w:bottom="1417" w:left="1701" w:header="1134" w:footer="1134" w:gutter="0"/>
          <w:pgNumType w:fmt="decimal" w:start="1"/>
          <w:cols w:space="0" w:num="1"/>
          <w:rtlGutter w:val="0"/>
          <w:docGrid w:type="lines" w:linePitch="424" w:charSpace="0"/>
        </w:sectPr>
      </w:pPr>
      <w:bookmarkStart w:id="13" w:name="_Toc14420"/>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bookmarkEnd w:id="13"/>
    </w:p>
    <w:p>
      <w:pPr>
        <w:numPr>
          <w:ilvl w:val="0"/>
          <w:numId w:val="2"/>
        </w:numPr>
        <w:bidi w:val="0"/>
        <w:ind w:left="454" w:leftChars="0" w:hanging="454" w:firstLineChars="0"/>
        <w:rPr>
          <w:rFonts w:hint="eastAsia"/>
          <w:lang w:val="en-US" w:eastAsia="zh-CN"/>
        </w:rPr>
      </w:pPr>
      <w:bookmarkStart w:id="14" w:name="_Ref18345"/>
      <w:r>
        <w:rPr>
          <w:rFonts w:hint="eastAsia"/>
          <w:lang w:val="en-US" w:eastAsia="zh-CN"/>
        </w:rPr>
        <w:t>陆亚东，赵会光，李传江，等. 深空探测返回器再入技术初步研究[C]//中国宇航学会深空探测技术专业委员会学术年会. 2008：26-30.</w:t>
      </w:r>
      <w:bookmarkEnd w:id="14"/>
    </w:p>
    <w:p>
      <w:pPr>
        <w:numPr>
          <w:ilvl w:val="0"/>
          <w:numId w:val="2"/>
        </w:numPr>
        <w:bidi w:val="0"/>
        <w:ind w:left="454" w:leftChars="0" w:hanging="454" w:firstLineChars="0"/>
        <w:rPr>
          <w:rFonts w:hint="eastAsia"/>
          <w:lang w:val="en-US" w:eastAsia="zh-CN"/>
        </w:rPr>
      </w:pPr>
      <w:bookmarkStart w:id="15" w:name="_Ref18479"/>
      <w:r>
        <w:rPr>
          <w:rFonts w:hint="eastAsia"/>
          <w:lang w:val="en-US" w:eastAsia="zh-CN"/>
        </w:rPr>
        <w:t>王臣，梁军，吴世平，等. 高温烧蚀条件下C/C材料热力耦合场模拟[J]. 复合材料学报，2006，23(5)：143-148.</w:t>
      </w:r>
      <w:bookmarkEnd w:id="15"/>
    </w:p>
    <w:p>
      <w:pPr>
        <w:numPr>
          <w:ilvl w:val="0"/>
          <w:numId w:val="2"/>
        </w:numPr>
        <w:bidi w:val="0"/>
        <w:ind w:left="454" w:leftChars="0" w:hanging="454" w:firstLineChars="0"/>
        <w:rPr>
          <w:rFonts w:hint="eastAsia"/>
          <w:lang w:val="en-US" w:eastAsia="zh-CN"/>
        </w:rPr>
      </w:pPr>
      <w:bookmarkStart w:id="16" w:name="_Ref18538"/>
      <w:r>
        <w:rPr>
          <w:rFonts w:hint="eastAsia"/>
          <w:lang w:val="en-US" w:eastAsia="zh-CN"/>
        </w:rPr>
        <w:t>王春明，梁馨，孙宝岗，等. 低密度烧蚀材料在神舟飞船上的应用[J]. 宇航材料工艺，2011，41(2)：5-8.</w:t>
      </w:r>
      <w:bookmarkEnd w:id="16"/>
    </w:p>
    <w:p>
      <w:pPr>
        <w:numPr>
          <w:ilvl w:val="0"/>
          <w:numId w:val="2"/>
        </w:numPr>
        <w:bidi w:val="0"/>
        <w:ind w:left="454" w:leftChars="0" w:hanging="454" w:firstLineChars="0"/>
      </w:pPr>
      <w:bookmarkStart w:id="17" w:name="_Ref18590"/>
      <w:r>
        <w:rPr>
          <w:rFonts w:hint="eastAsia"/>
          <w:lang w:val="en-US" w:eastAsia="zh-CN"/>
        </w:rPr>
        <w:t>叶培建，杨孟飞，彭兢，等. 中国深空探测进入/再入返回技术的发展现状和展望[J]. 中国科学:技术科学，2015(3)：229-238.</w:t>
      </w:r>
      <w:bookmarkEnd w:id="17"/>
    </w:p>
    <w:p>
      <w:pPr>
        <w:numPr>
          <w:ilvl w:val="0"/>
          <w:numId w:val="2"/>
        </w:numPr>
        <w:bidi w:val="0"/>
        <w:ind w:left="454" w:leftChars="0" w:hanging="454" w:firstLineChars="0"/>
      </w:pPr>
      <w:bookmarkStart w:id="18" w:name="_Ref18616"/>
      <w:r>
        <w:rPr>
          <w:rFonts w:hint="eastAsia"/>
          <w:lang w:val="en-US" w:eastAsia="zh-CN"/>
        </w:rPr>
        <w:t>吴晓宏，陆小龙，李涛，等. 轻质烧蚀材料研究综述[J]. 航天器环境工程，2011，28(4)：313-317.</w:t>
      </w:r>
      <w:bookmarkEnd w:id="18"/>
    </w:p>
    <w:sectPr>
      <w:headerReference r:id="rId8" w:type="default"/>
      <w:pgSz w:w="11906" w:h="16838"/>
      <w:pgMar w:top="1417" w:right="1701" w:bottom="1417" w:left="1701" w:header="1134" w:footer="1134" w:gutter="0"/>
      <w:pgNumType w:fmt="decimal"/>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rPr>
        <w:rFonts w:hint="default" w:eastAsia="宋体"/>
        <w:lang w:eastAsia="zh-CN"/>
      </w:rPr>
    </w:pPr>
    <w:r>
      <w:rPr>
        <w:rFonts w:hint="default"/>
      </w:rPr>
      <w:fldChar w:fldCharType="begin"/>
    </w:r>
    <w:r>
      <w:rPr>
        <w:rFonts w:hint="default"/>
      </w:rPr>
      <w:instrText xml:space="preserve"> STYLEREF "标题 1" \n \* MERGEFORMAT </w:instrText>
    </w:r>
    <w:r>
      <w:rPr>
        <w:rFonts w:hint="default"/>
      </w:rPr>
      <w:fldChar w:fldCharType="separate"/>
    </w:r>
    <w:r>
      <w:rPr>
        <w:rFonts w:hint="default"/>
      </w:rPr>
      <w:t>第3章</w:t>
    </w:r>
    <w:r>
      <w:rPr>
        <w:rFonts w:hint="default"/>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STYLEREF "标题 1"  \* MERGEFORMAT </w:instrText>
    </w:r>
    <w:r>
      <w:rPr>
        <w:rFonts w:hint="eastAsia"/>
        <w:lang w:val="en-US" w:eastAsia="zh-CN"/>
      </w:rPr>
      <w:fldChar w:fldCharType="separate"/>
    </w:r>
    <w:r>
      <w:rPr>
        <w:rFonts w:hint="eastAsia"/>
        <w:lang w:val="en-US" w:eastAsia="zh-CN"/>
      </w:rPr>
      <w:t>烧蚀行为的数学模型</w:t>
    </w:r>
    <w:r>
      <w:rPr>
        <w:rFonts w:hint="eastAsia"/>
        <w:lang w:val="en-US" w:eastAsia="zh-CN"/>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0E003D"/>
    <w:multiLevelType w:val="singleLevel"/>
    <w:tmpl w:val="D60E003D"/>
    <w:lvl w:ilvl="0" w:tentative="0">
      <w:start w:val="1"/>
      <w:numFmt w:val="decimal"/>
      <w:lvlText w:val="[%1]"/>
      <w:lvlJc w:val="left"/>
      <w:pPr>
        <w:tabs>
          <w:tab w:val="left" w:pos="397"/>
        </w:tabs>
        <w:ind w:left="454" w:leftChars="0" w:hanging="454" w:firstLineChars="0"/>
      </w:pPr>
      <w:rPr>
        <w:rFonts w:hint="default"/>
      </w:rPr>
    </w:lvl>
  </w:abstractNum>
  <w:abstractNum w:abstractNumId="1">
    <w:nsid w:val="FEC9200F"/>
    <w:multiLevelType w:val="multilevel"/>
    <w:tmpl w:val="FEC9200F"/>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A91F3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753EE2"/>
    <w:rsid w:val="38AB4F1A"/>
    <w:rsid w:val="3902661C"/>
    <w:rsid w:val="391C5077"/>
    <w:rsid w:val="3961048C"/>
    <w:rsid w:val="39764DEE"/>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186ED9"/>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991B64"/>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1B2993"/>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pageBreakBefore/>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rFonts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beforeAutospacing="0" w:after="50" w:afterLines="50" w:afterAutospacing="0" w:line="240" w:lineRule="auto"/>
      <w:ind w:left="720" w:hanging="720" w:firstLineChars="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imes New Roman" w:hAnsi="Times New Roman" w:eastAsia="黑体"/>
      <w:sz w:val="24"/>
    </w:rPr>
  </w:style>
  <w:style w:type="paragraph" w:styleId="16">
    <w:name w:val="toc 2"/>
    <w:basedOn w:val="1"/>
    <w:next w:val="1"/>
    <w:semiHidden/>
    <w:unhideWhenUsed/>
    <w:qFormat/>
    <w:uiPriority w:val="39"/>
    <w:pPr>
      <w:tabs>
        <w:tab w:val="right" w:leader="dot" w:pos="8505"/>
      </w:tabs>
      <w:ind w:left="420" w:leftChars="200"/>
    </w:pPr>
    <w:rPr>
      <w:rFonts w:ascii="Times New Roman" w:hAnsi="Times New Roman" w:eastAsia="宋体"/>
      <w:sz w:val="24"/>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eastAsia="黑体" w:asciiTheme="minorAscii" w:hAnsiTheme="minorAscii"/>
      <w:kern w:val="44"/>
      <w:sz w:val="36"/>
      <w:szCs w:val="36"/>
    </w:rPr>
  </w:style>
  <w:style w:type="paragraph" w:customStyle="1" w:styleId="23">
    <w:name w:val="公式"/>
    <w:basedOn w:val="1"/>
    <w:qFormat/>
    <w:uiPriority w:val="0"/>
    <w:pPr>
      <w:tabs>
        <w:tab w:val="center"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
      <sectNamePr val="正文"/>
    </customSectPr>
    <customSectPr>
      <sectNamePr val="正文"/>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2855</Words>
  <Characters>3341</Characters>
  <Lines>1</Lines>
  <Paragraphs>1</Paragraphs>
  <TotalTime>2</TotalTime>
  <ScaleCrop>false</ScaleCrop>
  <LinksUpToDate>false</LinksUpToDate>
  <CharactersWithSpaces>3798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WPS_1563888677</cp:lastModifiedBy>
  <dcterms:modified xsi:type="dcterms:W3CDTF">2022-06-09T06:19:01Z</dcterms:modified>
  <dc:title>工学硕士学位论文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A0170111D3184947B679CF195CB8C6B6</vt:lpwstr>
  </property>
</Properties>
</file>