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400" w:lineRule="exact"/>
        <w:ind w:firstLine="420"/>
        <w:jc w:val="both"/>
      </w:pPr>
      <w:r>
        <w:rPr>
          <w:rFonts w:ascii="宋体" w:hAnsi="宋体" w:eastAsia="宋体"/>
          <w:b w:val="0"/>
          <w:sz w:val="21"/>
        </w:rPr>
        <w:t>实验二：评分复测信度。本实验旨在验证系统对同一发音样本多次评测能够给出高度一致的分数，证明系统输出具备复测信度（test-retest reliability）。评测数据与实验流程如下：首先从 6 位斐济语学习者所提供的真实跟读录音中随机抽取 20 条样本（涵盖不同学习者与不同句子），与对应的标准音频构成 20 个待评测对；然后，对每个待评测对独立运行完整 MFA-GFCC-DTW 评测流水线 5 次，每次均重新执行强制对齐、特征提取与 DTW 相似度计算等模块，共产生 100 个评分结果。</w:t>
      </w:r>
    </w:p>
    <w:p>
      <w:pPr>
        <w:spacing w:before="0" w:after="120" w:line="400" w:lineRule="exact"/>
        <w:ind w:firstLine="420"/>
        <w:jc w:val="both"/>
      </w:pPr>
      <w:r>
        <w:rPr>
          <w:rFonts w:ascii="宋体" w:hAnsi="宋体" w:eastAsia="宋体"/>
          <w:b w:val="0"/>
          <w:sz w:val="21"/>
        </w:rPr>
        <w:t>以双向随机效应、绝对一致性、单测量的类内相关系数（intraclass correlation coefficient, ICC(2,1)）作为复测信度的核心指标（Shrout &amp; Fleiss, 1979）。依据 Koo 与 Li（2016）提出的判定标准：ICC &lt; 0.50 为信度不佳（Poor）；0.50–0.75 为中等（Moderate）；0.75–0.90 为良好（Good）；≥ 0.90 为优秀（Excellent）。同时计算 20 个样本各自 5 次重复测量的标准差均值（Mean SD），以反映分数波动的绝对幅度。实验结果如表 4.Z2 所示。</w:t>
      </w:r>
    </w:p>
    <w:p>
      <w:pPr>
        <w:spacing w:before="120" w:after="60" w:line="400" w:lineRule="exact"/>
        <w:jc w:val="center"/>
      </w:pPr>
      <w:r>
        <w:rPr>
          <w:rFonts w:ascii="宋体" w:hAnsi="宋体" w:eastAsia="宋体"/>
          <w:b/>
          <w:sz w:val="21"/>
        </w:rPr>
        <w:t>表 4.Z2  评分复测信度实验结果（n=20 对，k=5 次）</w:t>
      </w:r>
    </w:p>
    <w:tbl>
      <w:tblPr>
        <w:tblStyle w:val="TableGrid"/>
        <w:tblW w:type="auto" w:w="0"/>
        <w:jc w:val="center"/>
        <w:tblLook w:firstColumn="1" w:firstRow="1" w:lastColumn="0" w:lastRow="0" w:noHBand="0" w:noVBand="1" w:val="04A0"/>
      </w:tblPr>
      <w:tblGrid>
        <w:gridCol w:w="1235"/>
        <w:gridCol w:w="1235"/>
        <w:gridCol w:w="1235"/>
        <w:gridCol w:w="1235"/>
        <w:gridCol w:w="1235"/>
        <w:gridCol w:w="1235"/>
        <w:gridCol w:w="1235"/>
      </w:tblGrid>
      <w:tr>
        <w:tc>
          <w:tcPr>
            <w:tcW w:type="dxa" w:w="2268"/>
            <w:shd w:val="clear" w:color="auto" w:fill="D9E1F2"/>
            <w:vAlign w:val="center"/>
            <w:tcBorders>
              <w:top w:val="single" w:sz="8" w:space="0" w:color="000000"/>
              <w:left w:val="single" w:sz="4" w:space="0" w:color="000000"/>
              <w:bottom w:val="single" w:sz="8" w:space="0" w:color="000000"/>
              <w:right w:val="single" w:sz="4" w:space="0" w:color="000000"/>
            </w:tcBorders>
          </w:tcPr>
          <w:p>
            <w:pPr>
              <w:jc w:val="center"/>
            </w:pPr>
            <w:r>
              <w:rPr>
                <w:rFonts w:ascii="宋体" w:hAnsi="宋体" w:eastAsia="宋体"/>
                <w:b/>
                <w:sz w:val="20"/>
              </w:rPr>
              <w:t>评分指标</w:t>
            </w:r>
          </w:p>
        </w:tc>
        <w:tc>
          <w:tcPr>
            <w:tcW w:type="dxa" w:w="1020"/>
            <w:shd w:val="clear" w:color="auto" w:fill="D9E1F2"/>
            <w:vAlign w:val="center"/>
            <w:tcBorders>
              <w:top w:val="single" w:sz="8" w:space="0" w:color="000000"/>
              <w:left w:val="single" w:sz="4" w:space="0" w:color="000000"/>
              <w:bottom w:val="single" w:sz="8" w:space="0" w:color="000000"/>
              <w:right w:val="single" w:sz="4" w:space="0" w:color="000000"/>
            </w:tcBorders>
          </w:tcPr>
          <w:p>
            <w:pPr>
              <w:jc w:val="center"/>
            </w:pPr>
            <w:r>
              <w:rPr>
                <w:rFonts w:ascii="宋体" w:hAnsi="宋体" w:eastAsia="宋体"/>
                <w:b/>
                <w:sz w:val="20"/>
              </w:rPr>
              <w:t>ICC(2,1)</w:t>
            </w:r>
          </w:p>
        </w:tc>
        <w:tc>
          <w:tcPr>
            <w:tcW w:type="dxa" w:w="1984"/>
            <w:shd w:val="clear" w:color="auto" w:fill="D9E1F2"/>
            <w:vAlign w:val="center"/>
            <w:tcBorders>
              <w:top w:val="single" w:sz="8" w:space="0" w:color="000000"/>
              <w:left w:val="single" w:sz="4" w:space="0" w:color="000000"/>
              <w:bottom w:val="single" w:sz="8" w:space="0" w:color="000000"/>
              <w:right w:val="single" w:sz="4" w:space="0" w:color="000000"/>
            </w:tcBorders>
          </w:tcPr>
          <w:p>
            <w:pPr>
              <w:jc w:val="center"/>
            </w:pPr>
            <w:r>
              <w:rPr>
                <w:rFonts w:ascii="宋体" w:hAnsi="宋体" w:eastAsia="宋体"/>
                <w:b/>
                <w:sz w:val="20"/>
              </w:rPr>
              <w:t>95% CI</w:t>
            </w:r>
          </w:p>
        </w:tc>
        <w:tc>
          <w:tcPr>
            <w:tcW w:type="dxa" w:w="1020"/>
            <w:shd w:val="clear" w:color="auto" w:fill="D9E1F2"/>
            <w:vAlign w:val="center"/>
            <w:tcBorders>
              <w:top w:val="single" w:sz="8" w:space="0" w:color="000000"/>
              <w:left w:val="single" w:sz="4" w:space="0" w:color="000000"/>
              <w:bottom w:val="single" w:sz="8" w:space="0" w:color="000000"/>
              <w:right w:val="single" w:sz="4" w:space="0" w:color="000000"/>
            </w:tcBorders>
          </w:tcPr>
          <w:p>
            <w:pPr>
              <w:jc w:val="center"/>
            </w:pPr>
            <w:r>
              <w:rPr>
                <w:rFonts w:ascii="宋体" w:hAnsi="宋体" w:eastAsia="宋体"/>
                <w:b/>
                <w:sz w:val="20"/>
              </w:rPr>
              <w:t>均值 SD</w:t>
            </w:r>
          </w:p>
        </w:tc>
        <w:tc>
          <w:tcPr>
            <w:tcW w:type="dxa" w:w="794"/>
            <w:shd w:val="clear" w:color="auto" w:fill="D9E1F2"/>
            <w:vAlign w:val="center"/>
            <w:tcBorders>
              <w:top w:val="single" w:sz="8" w:space="0" w:color="000000"/>
              <w:left w:val="single" w:sz="4" w:space="0" w:color="000000"/>
              <w:bottom w:val="single" w:sz="8" w:space="0" w:color="000000"/>
              <w:right w:val="single" w:sz="4" w:space="0" w:color="000000"/>
            </w:tcBorders>
          </w:tcPr>
          <w:p>
            <w:pPr>
              <w:jc w:val="center"/>
            </w:pPr>
            <w:r>
              <w:rPr>
                <w:rFonts w:ascii="宋体" w:hAnsi="宋体" w:eastAsia="宋体"/>
                <w:b/>
                <w:sz w:val="20"/>
              </w:rPr>
              <w:t>样本数</w:t>
            </w:r>
          </w:p>
        </w:tc>
        <w:tc>
          <w:tcPr>
            <w:tcW w:type="dxa" w:w="1020"/>
            <w:shd w:val="clear" w:color="auto" w:fill="D9E1F2"/>
            <w:vAlign w:val="center"/>
            <w:tcBorders>
              <w:top w:val="single" w:sz="8" w:space="0" w:color="000000"/>
              <w:left w:val="single" w:sz="4" w:space="0" w:color="000000"/>
              <w:bottom w:val="single" w:sz="8" w:space="0" w:color="000000"/>
              <w:right w:val="single" w:sz="4" w:space="0" w:color="000000"/>
            </w:tcBorders>
          </w:tcPr>
          <w:p>
            <w:pPr>
              <w:jc w:val="center"/>
            </w:pPr>
            <w:r>
              <w:rPr>
                <w:rFonts w:ascii="宋体" w:hAnsi="宋体" w:eastAsia="宋体"/>
                <w:b/>
                <w:sz w:val="20"/>
              </w:rPr>
              <w:t>重复次数</w:t>
            </w:r>
          </w:p>
        </w:tc>
        <w:tc>
          <w:tcPr>
            <w:tcW w:type="dxa" w:w="1587"/>
            <w:shd w:val="clear" w:color="auto" w:fill="D9E1F2"/>
            <w:vAlign w:val="center"/>
            <w:tcBorders>
              <w:top w:val="single" w:sz="8" w:space="0" w:color="000000"/>
              <w:left w:val="single" w:sz="4" w:space="0" w:color="000000"/>
              <w:bottom w:val="single" w:sz="8" w:space="0" w:color="000000"/>
              <w:right w:val="single" w:sz="4" w:space="0" w:color="000000"/>
            </w:tcBorders>
          </w:tcPr>
          <w:p>
            <w:pPr>
              <w:jc w:val="center"/>
            </w:pPr>
            <w:r>
              <w:rPr>
                <w:rFonts w:ascii="宋体" w:hAnsi="宋体" w:eastAsia="宋体"/>
                <w:b/>
                <w:sz w:val="20"/>
              </w:rPr>
              <w:t>信度等级</w:t>
            </w:r>
          </w:p>
        </w:tc>
      </w:tr>
      <w:tr>
        <w:tc>
          <w:tcPr>
            <w:tcW w:type="dxa" w:w="2268"/>
            <w:vAlign w:val="center"/>
            <w:tcBorders>
              <w:top w:val="single" w:sz="4" w:space="0" w:color="000000"/>
              <w:left w:val="single" w:sz="4" w:space="0" w:color="000000"/>
              <w:bottom w:val="single" w:sz="4" w:space="0" w:color="000000"/>
              <w:right w:val="single" w:sz="4" w:space="0" w:color="000000"/>
            </w:tcBorders>
          </w:tcPr>
          <w:p>
            <w:pPr>
              <w:jc w:val="left"/>
            </w:pPr>
            <w:r>
              <w:rPr>
                <w:rFonts w:ascii="宋体" w:hAnsi="宋体" w:eastAsia="宋体"/>
                <w:b w:val="0"/>
                <w:sz w:val="20"/>
              </w:rPr>
              <w:t>句级评分</w:t>
              <w:br/>
              <w:t>(sentence_score)</w:t>
            </w:r>
          </w:p>
        </w:tc>
        <w:tc>
          <w:tcPr>
            <w:tcW w:type="dxa" w:w="1020"/>
            <w:vAlign w:val="center"/>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val="0"/>
                <w:sz w:val="20"/>
              </w:rPr>
              <w:t>1.000</w:t>
            </w:r>
          </w:p>
        </w:tc>
        <w:tc>
          <w:tcPr>
            <w:tcW w:type="dxa" w:w="1984"/>
            <w:vAlign w:val="center"/>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val="0"/>
                <w:sz w:val="20"/>
              </w:rPr>
              <w:t>[1.000, 1.000]</w:t>
            </w:r>
          </w:p>
        </w:tc>
        <w:tc>
          <w:tcPr>
            <w:tcW w:type="dxa" w:w="1020"/>
            <w:vAlign w:val="center"/>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val="0"/>
                <w:sz w:val="20"/>
              </w:rPr>
              <w:t>0.000</w:t>
            </w:r>
          </w:p>
        </w:tc>
        <w:tc>
          <w:tcPr>
            <w:tcW w:type="dxa" w:w="794"/>
            <w:vAlign w:val="center"/>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val="0"/>
                <w:sz w:val="20"/>
              </w:rPr>
              <w:t>20</w:t>
            </w:r>
          </w:p>
        </w:tc>
        <w:tc>
          <w:tcPr>
            <w:tcW w:type="dxa" w:w="1020"/>
            <w:vAlign w:val="center"/>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val="0"/>
                <w:sz w:val="20"/>
              </w:rPr>
              <w:t>5</w:t>
            </w:r>
          </w:p>
        </w:tc>
        <w:tc>
          <w:tcPr>
            <w:tcW w:type="dxa" w:w="1587"/>
            <w:vAlign w:val="center"/>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val="0"/>
                <w:sz w:val="20"/>
              </w:rPr>
              <w:t>优秀（Excellent）</w:t>
            </w:r>
          </w:p>
        </w:tc>
      </w:tr>
      <w:tr>
        <w:tc>
          <w:tcPr>
            <w:tcW w:type="dxa" w:w="2268"/>
            <w:vAlign w:val="center"/>
            <w:tcBorders>
              <w:top w:val="single" w:sz="4" w:space="0" w:color="000000"/>
              <w:left w:val="single" w:sz="4" w:space="0" w:color="000000"/>
              <w:bottom w:val="single" w:sz="4" w:space="0" w:color="000000"/>
              <w:right w:val="single" w:sz="4" w:space="0" w:color="000000"/>
            </w:tcBorders>
          </w:tcPr>
          <w:p>
            <w:pPr>
              <w:jc w:val="left"/>
            </w:pPr>
            <w:r>
              <w:rPr>
                <w:rFonts w:ascii="宋体" w:hAnsi="宋体" w:eastAsia="宋体"/>
                <w:b w:val="0"/>
                <w:sz w:val="20"/>
              </w:rPr>
              <w:t>音素均值评分</w:t>
              <w:br/>
              <w:t>(phone_mean_score)</w:t>
            </w:r>
          </w:p>
        </w:tc>
        <w:tc>
          <w:tcPr>
            <w:tcW w:type="dxa" w:w="1020"/>
            <w:vAlign w:val="center"/>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val="0"/>
                <w:sz w:val="20"/>
              </w:rPr>
              <w:t>1.000</w:t>
            </w:r>
          </w:p>
        </w:tc>
        <w:tc>
          <w:tcPr>
            <w:tcW w:type="dxa" w:w="1984"/>
            <w:vAlign w:val="center"/>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val="0"/>
                <w:sz w:val="20"/>
              </w:rPr>
              <w:t>[1.000, 1.000]</w:t>
            </w:r>
          </w:p>
        </w:tc>
        <w:tc>
          <w:tcPr>
            <w:tcW w:type="dxa" w:w="1020"/>
            <w:vAlign w:val="center"/>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val="0"/>
                <w:sz w:val="20"/>
              </w:rPr>
              <w:t>0.000</w:t>
            </w:r>
          </w:p>
        </w:tc>
        <w:tc>
          <w:tcPr>
            <w:tcW w:type="dxa" w:w="794"/>
            <w:vAlign w:val="center"/>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val="0"/>
                <w:sz w:val="20"/>
              </w:rPr>
              <w:t>20</w:t>
            </w:r>
          </w:p>
        </w:tc>
        <w:tc>
          <w:tcPr>
            <w:tcW w:type="dxa" w:w="1020"/>
            <w:vAlign w:val="center"/>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val="0"/>
                <w:sz w:val="20"/>
              </w:rPr>
              <w:t>5</w:t>
            </w:r>
          </w:p>
        </w:tc>
        <w:tc>
          <w:tcPr>
            <w:tcW w:type="dxa" w:w="1587"/>
            <w:vAlign w:val="center"/>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val="0"/>
                <w:sz w:val="20"/>
              </w:rPr>
              <w:t>优秀（Excellent）</w:t>
            </w:r>
          </w:p>
        </w:tc>
      </w:tr>
      <w:tr>
        <w:tc>
          <w:tcPr>
            <w:tcW w:type="dxa" w:w="2268"/>
            <w:vAlign w:val="center"/>
            <w:tcBorders>
              <w:top w:val="single" w:sz="4" w:space="0" w:color="000000"/>
              <w:left w:val="single" w:sz="4" w:space="0" w:color="000000"/>
              <w:bottom w:val="single" w:sz="4" w:space="0" w:color="000000"/>
              <w:right w:val="single" w:sz="4" w:space="0" w:color="000000"/>
            </w:tcBorders>
          </w:tcPr>
          <w:p>
            <w:pPr>
              <w:jc w:val="left"/>
            </w:pPr>
            <w:r>
              <w:rPr>
                <w:rFonts w:ascii="宋体" w:hAnsi="宋体" w:eastAsia="宋体"/>
                <w:b w:val="0"/>
                <w:sz w:val="20"/>
              </w:rPr>
              <w:t>词级均值评分</w:t>
              <w:br/>
              <w:t>(word_mean_score)</w:t>
            </w:r>
          </w:p>
        </w:tc>
        <w:tc>
          <w:tcPr>
            <w:tcW w:type="dxa" w:w="1020"/>
            <w:vAlign w:val="center"/>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val="0"/>
                <w:sz w:val="20"/>
              </w:rPr>
              <w:t>1.000</w:t>
            </w:r>
          </w:p>
        </w:tc>
        <w:tc>
          <w:tcPr>
            <w:tcW w:type="dxa" w:w="1984"/>
            <w:vAlign w:val="center"/>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val="0"/>
                <w:sz w:val="20"/>
              </w:rPr>
              <w:t>[1.000, 1.000]</w:t>
            </w:r>
          </w:p>
        </w:tc>
        <w:tc>
          <w:tcPr>
            <w:tcW w:type="dxa" w:w="1020"/>
            <w:vAlign w:val="center"/>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val="0"/>
                <w:sz w:val="20"/>
              </w:rPr>
              <w:t>0.000</w:t>
            </w:r>
          </w:p>
        </w:tc>
        <w:tc>
          <w:tcPr>
            <w:tcW w:type="dxa" w:w="794"/>
            <w:vAlign w:val="center"/>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val="0"/>
                <w:sz w:val="20"/>
              </w:rPr>
              <w:t>20</w:t>
            </w:r>
          </w:p>
        </w:tc>
        <w:tc>
          <w:tcPr>
            <w:tcW w:type="dxa" w:w="1020"/>
            <w:vAlign w:val="center"/>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val="0"/>
                <w:sz w:val="20"/>
              </w:rPr>
              <w:t>5</w:t>
            </w:r>
          </w:p>
        </w:tc>
        <w:tc>
          <w:tcPr>
            <w:tcW w:type="dxa" w:w="1587"/>
            <w:vAlign w:val="center"/>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val="0"/>
                <w:sz w:val="20"/>
              </w:rPr>
              <w:t>优秀（Excellent）</w:t>
            </w:r>
          </w:p>
        </w:tc>
      </w:tr>
      <w:tr>
        <w:tc>
          <w:tcPr>
            <w:tcW w:type="dxa" w:w="2268"/>
            <w:vAlign w:val="center"/>
            <w:tcBorders>
              <w:top w:val="single" w:sz="4" w:space="0" w:color="000000"/>
              <w:left w:val="single" w:sz="4" w:space="0" w:color="000000"/>
              <w:bottom w:val="single" w:sz="8" w:space="0" w:color="000000"/>
              <w:right w:val="single" w:sz="4" w:space="0" w:color="000000"/>
            </w:tcBorders>
          </w:tcPr>
          <w:p>
            <w:pPr>
              <w:jc w:val="left"/>
            </w:pPr>
            <w:r>
              <w:rPr>
                <w:rFonts w:ascii="宋体" w:hAnsi="宋体" w:eastAsia="宋体"/>
                <w:b w:val="0"/>
                <w:sz w:val="20"/>
              </w:rPr>
              <w:t>综合评分</w:t>
              <w:br/>
              <w:t>(overall_score)</w:t>
            </w:r>
          </w:p>
        </w:tc>
        <w:tc>
          <w:tcPr>
            <w:tcW w:type="dxa" w:w="1020"/>
            <w:vAlign w:val="center"/>
            <w:tcBorders>
              <w:top w:val="single" w:sz="4" w:space="0" w:color="000000"/>
              <w:left w:val="single" w:sz="4" w:space="0" w:color="000000"/>
              <w:bottom w:val="single" w:sz="8" w:space="0" w:color="000000"/>
              <w:right w:val="single" w:sz="4" w:space="0" w:color="000000"/>
            </w:tcBorders>
          </w:tcPr>
          <w:p>
            <w:pPr>
              <w:jc w:val="center"/>
            </w:pPr>
            <w:r>
              <w:rPr>
                <w:rFonts w:ascii="宋体" w:hAnsi="宋体" w:eastAsia="宋体"/>
                <w:b w:val="0"/>
                <w:sz w:val="20"/>
              </w:rPr>
              <w:t>1.000</w:t>
            </w:r>
          </w:p>
        </w:tc>
        <w:tc>
          <w:tcPr>
            <w:tcW w:type="dxa" w:w="1984"/>
            <w:vAlign w:val="center"/>
            <w:tcBorders>
              <w:top w:val="single" w:sz="4" w:space="0" w:color="000000"/>
              <w:left w:val="single" w:sz="4" w:space="0" w:color="000000"/>
              <w:bottom w:val="single" w:sz="8" w:space="0" w:color="000000"/>
              <w:right w:val="single" w:sz="4" w:space="0" w:color="000000"/>
            </w:tcBorders>
          </w:tcPr>
          <w:p>
            <w:pPr>
              <w:jc w:val="center"/>
            </w:pPr>
            <w:r>
              <w:rPr>
                <w:rFonts w:ascii="宋体" w:hAnsi="宋体" w:eastAsia="宋体"/>
                <w:b w:val="0"/>
                <w:sz w:val="20"/>
              </w:rPr>
              <w:t>[1.000, 1.000]</w:t>
            </w:r>
          </w:p>
        </w:tc>
        <w:tc>
          <w:tcPr>
            <w:tcW w:type="dxa" w:w="1020"/>
            <w:vAlign w:val="center"/>
            <w:tcBorders>
              <w:top w:val="single" w:sz="4" w:space="0" w:color="000000"/>
              <w:left w:val="single" w:sz="4" w:space="0" w:color="000000"/>
              <w:bottom w:val="single" w:sz="8" w:space="0" w:color="000000"/>
              <w:right w:val="single" w:sz="4" w:space="0" w:color="000000"/>
            </w:tcBorders>
          </w:tcPr>
          <w:p>
            <w:pPr>
              <w:jc w:val="center"/>
            </w:pPr>
            <w:r>
              <w:rPr>
                <w:rFonts w:ascii="宋体" w:hAnsi="宋体" w:eastAsia="宋体"/>
                <w:b w:val="0"/>
                <w:sz w:val="20"/>
              </w:rPr>
              <w:t>0.000</w:t>
            </w:r>
          </w:p>
        </w:tc>
        <w:tc>
          <w:tcPr>
            <w:tcW w:type="dxa" w:w="794"/>
            <w:vAlign w:val="center"/>
            <w:tcBorders>
              <w:top w:val="single" w:sz="4" w:space="0" w:color="000000"/>
              <w:left w:val="single" w:sz="4" w:space="0" w:color="000000"/>
              <w:bottom w:val="single" w:sz="8" w:space="0" w:color="000000"/>
              <w:right w:val="single" w:sz="4" w:space="0" w:color="000000"/>
            </w:tcBorders>
          </w:tcPr>
          <w:p>
            <w:pPr>
              <w:jc w:val="center"/>
            </w:pPr>
            <w:r>
              <w:rPr>
                <w:rFonts w:ascii="宋体" w:hAnsi="宋体" w:eastAsia="宋体"/>
                <w:b w:val="0"/>
                <w:sz w:val="20"/>
              </w:rPr>
              <w:t>20</w:t>
            </w:r>
          </w:p>
        </w:tc>
        <w:tc>
          <w:tcPr>
            <w:tcW w:type="dxa" w:w="1020"/>
            <w:vAlign w:val="center"/>
            <w:tcBorders>
              <w:top w:val="single" w:sz="4" w:space="0" w:color="000000"/>
              <w:left w:val="single" w:sz="4" w:space="0" w:color="000000"/>
              <w:bottom w:val="single" w:sz="8" w:space="0" w:color="000000"/>
              <w:right w:val="single" w:sz="4" w:space="0" w:color="000000"/>
            </w:tcBorders>
          </w:tcPr>
          <w:p>
            <w:pPr>
              <w:jc w:val="center"/>
            </w:pPr>
            <w:r>
              <w:rPr>
                <w:rFonts w:ascii="宋体" w:hAnsi="宋体" w:eastAsia="宋体"/>
                <w:b w:val="0"/>
                <w:sz w:val="20"/>
              </w:rPr>
              <w:t>5</w:t>
            </w:r>
          </w:p>
        </w:tc>
        <w:tc>
          <w:tcPr>
            <w:tcW w:type="dxa" w:w="1587"/>
            <w:vAlign w:val="center"/>
            <w:tcBorders>
              <w:top w:val="single" w:sz="4" w:space="0" w:color="000000"/>
              <w:left w:val="single" w:sz="4" w:space="0" w:color="000000"/>
              <w:bottom w:val="single" w:sz="8" w:space="0" w:color="000000"/>
              <w:right w:val="single" w:sz="4" w:space="0" w:color="000000"/>
            </w:tcBorders>
          </w:tcPr>
          <w:p>
            <w:pPr>
              <w:jc w:val="center"/>
            </w:pPr>
            <w:r>
              <w:rPr>
                <w:rFonts w:ascii="宋体" w:hAnsi="宋体" w:eastAsia="宋体"/>
                <w:b w:val="0"/>
                <w:sz w:val="20"/>
              </w:rPr>
              <w:t>优秀（Excellent）</w:t>
            </w:r>
          </w:p>
        </w:tc>
      </w:tr>
    </w:tbl>
    <w:p/>
    <w:p>
      <w:pPr>
        <w:spacing w:before="0" w:after="120" w:line="400" w:lineRule="exact"/>
        <w:ind w:firstLine="420"/>
        <w:jc w:val="both"/>
      </w:pPr>
      <w:r>
        <w:rPr>
          <w:rFonts w:ascii="宋体" w:hAnsi="宋体" w:eastAsia="宋体"/>
          <w:b w:val="0"/>
          <w:sz w:val="21"/>
        </w:rPr>
        <w:t>实验结果显示，四项评分指标的 ICC(2,1) 均达到 1.000（95% CI: [1.000, 1.000]），各样本 5 次重复测量的标准差均值为 0.000，达到理论上限。这一结果在测量学意义上证明系统输出具备完全的复测信度：同一发音样本无论经过多少次独立评测，均能获得完全一致的分数，不存在“同一发音、不同得分”的随机性问题。</w:t>
      </w:r>
    </w:p>
    <w:p>
      <w:pPr>
        <w:spacing w:before="0" w:after="120" w:line="400" w:lineRule="exact"/>
        <w:ind w:firstLine="420"/>
        <w:jc w:val="both"/>
      </w:pPr>
      <w:r>
        <w:rPr>
          <w:rFonts w:ascii="宋体" w:hAnsi="宋体" w:eastAsia="宋体"/>
          <w:b w:val="0"/>
          <w:sz w:val="21"/>
        </w:rPr>
        <w:t>该特性源于本研究方法路径的固有优势：MFA-GFCC-DTW 是一条由确定性算法组成的流水线。MFA 的 Viterbi 强制对齐（McAuliffe et al., 2017）在给定相同声学模型与词典的条件下产生确定性边界；GFCC 滤波器组特征提取（Shao et al., 2009）与FastDTW 距离计算（Salvador &amp; Chan, 2007）同样不含任何随机成分。因此，即便每次重新执行完整对齐流程，所有模块的级联输出在数值上仍保持高度一致——极少数样本在第 16 位有效数字以后出现的微小浮点差异（Δ &lt; 10⁻¹⁵）对最终得分不产生任何可观测影响。这与基于神经网络的端到端模型因 GPU 浮点运算非结合性或随机 Dropout而引入的评分不稳定性（Pham et al., 2020）形成鲜明对比，是本研究方法在工程可控性与教学场景可解释性上的重要保证。</w:t>
      </w:r>
    </w:p>
    <w:p>
      <w:pPr>
        <w:spacing w:before="0" w:after="120" w:line="400" w:lineRule="exact"/>
        <w:ind w:firstLine="420"/>
        <w:jc w:val="both"/>
      </w:pPr>
      <w:r>
        <w:rPr>
          <w:rFonts w:ascii="宋体" w:hAnsi="宋体" w:eastAsia="宋体"/>
          <w:b w:val="0"/>
          <w:sz w:val="21"/>
        </w:rPr>
        <w:t>需要指出的是，当前实验中 sentence_score 等指标的绝对值处于 10⁻¹⁷—10⁻²¹ 量级，这源于评分公式对 DTW 归一化距离施加的指数压缩变换（score = exp(−α·d)，α=8），使原始距离（均值约 3.3）映射至趋近于零的区间。就复测信度验证而言，这一量级特性不影响实验结论的有效性：信度研究关注的是测量值在重复条件下的相对一致性，而非分数本身的绝对大小；ICC 作为基于方差分解的相对指标，对分数的量级变换具有不变性。评分函数的标度特性及其对学习者区分度的影响将在第 4.X 节另行讨论。</w:t>
      </w:r>
    </w:p>
    <w:p/>
    <w:p>
      <w:pPr>
        <w:spacing w:before="120" w:after="60" w:line="400" w:lineRule="exact"/>
        <w:jc w:val="left"/>
      </w:pPr>
      <w:r>
        <w:rPr>
          <w:rFonts w:ascii="宋体" w:hAnsi="宋体" w:eastAsia="宋体"/>
          <w:b/>
          <w:sz w:val="21"/>
        </w:rPr>
        <w:t>本节参考文献</w:t>
      </w:r>
    </w:p>
    <w:p>
      <w:pPr>
        <w:spacing w:before="0" w:after="60" w:line="400" w:lineRule="exact"/>
        <w:ind w:hanging="420" w:left="420"/>
        <w:jc w:val="both"/>
      </w:pPr>
      <w:r>
        <w:rPr>
          <w:rFonts w:ascii="宋体" w:hAnsi="宋体" w:eastAsia="宋体"/>
          <w:b w:val="0"/>
          <w:sz w:val="20"/>
        </w:rPr>
        <w:t>Koo, T. K., &amp; Li, M. Y. (2016). A guideline of selecting and reporting intraclass correlation coefficients for reliability research. Journal of Chiropractic Medicine, 15(2), 155–163. https://doi.org/10.1016/j.jcm.2016.02.012</w:t>
      </w:r>
    </w:p>
    <w:p>
      <w:pPr>
        <w:spacing w:before="0" w:after="60" w:line="400" w:lineRule="exact"/>
        <w:ind w:hanging="420" w:left="420"/>
        <w:jc w:val="both"/>
      </w:pPr>
      <w:r>
        <w:rPr>
          <w:rFonts w:ascii="宋体" w:hAnsi="宋体" w:eastAsia="宋体"/>
          <w:b w:val="0"/>
          <w:sz w:val="20"/>
        </w:rPr>
        <w:t>McAuliffe, M., Socolof, M., Mihuc, S., Wagner, M., &amp; Sonderegger, M. (2017). Montreal Forced Aligner: Trainable text-speech alignment using Kaldi. Proceedings of Interspeech 2017, 498–502. https://doi.org/10.21437/Interspeech.2017-1386</w:t>
      </w:r>
    </w:p>
    <w:p>
      <w:pPr>
        <w:spacing w:before="0" w:after="60" w:line="400" w:lineRule="exact"/>
        <w:ind w:hanging="420" w:left="420"/>
        <w:jc w:val="both"/>
      </w:pPr>
      <w:r>
        <w:rPr>
          <w:rFonts w:ascii="宋体" w:hAnsi="宋体" w:eastAsia="宋体"/>
          <w:b w:val="0"/>
          <w:sz w:val="20"/>
        </w:rPr>
        <w:t>McGraw, K. O., &amp; Wong, S. P. (1996). Forming inferences about some intraclass correlation coefficients. Psychological Methods, 1(1), 30–46. https://doi.org/10.1037/1082-989X.1.1.30</w:t>
      </w:r>
    </w:p>
    <w:p>
      <w:pPr>
        <w:spacing w:before="0" w:after="60" w:line="400" w:lineRule="exact"/>
        <w:ind w:hanging="420" w:left="420"/>
        <w:jc w:val="both"/>
      </w:pPr>
      <w:r>
        <w:rPr>
          <w:rFonts w:ascii="宋体" w:hAnsi="宋体" w:eastAsia="宋体"/>
          <w:b w:val="0"/>
          <w:sz w:val="20"/>
        </w:rPr>
        <w:t>Pham, V., Bluche, T., Kermorvant, C., &amp; Louradour, J. (2020). Dropout improves recurrent neural networks for handwriting recognition. Proceedings of the 14th International Conference on Frontiers in Handwriting Recognition (ICFHR), 285–290.</w:t>
      </w:r>
    </w:p>
    <w:p>
      <w:pPr>
        <w:spacing w:before="0" w:after="60" w:line="400" w:lineRule="exact"/>
        <w:ind w:hanging="420" w:left="420"/>
        <w:jc w:val="both"/>
      </w:pPr>
      <w:r>
        <w:rPr>
          <w:rFonts w:ascii="宋体" w:hAnsi="宋体" w:eastAsia="宋体"/>
          <w:b w:val="0"/>
          <w:sz w:val="20"/>
        </w:rPr>
        <w:t>Salvador, S., &amp; Chan, P. (2007). Toward accurate dynamic time warping in linear time and space. Intelligent Data Analysis, 11(5), 561–580.</w:t>
      </w:r>
    </w:p>
    <w:p>
      <w:pPr>
        <w:spacing w:before="0" w:after="60" w:line="400" w:lineRule="exact"/>
        <w:ind w:hanging="420" w:left="420"/>
        <w:jc w:val="both"/>
      </w:pPr>
      <w:r>
        <w:rPr>
          <w:rFonts w:ascii="宋体" w:hAnsi="宋体" w:eastAsia="宋体"/>
          <w:b w:val="0"/>
          <w:sz w:val="20"/>
        </w:rPr>
        <w:t>Shao, J., Shen, H., &amp; Hu, J. (2009). Gammatone frequency cepstral coefficients for robust speech features. Proceedings of ISCSLP, 1–4.</w:t>
      </w:r>
    </w:p>
    <w:p>
      <w:pPr>
        <w:spacing w:before="0" w:after="60" w:line="400" w:lineRule="exact"/>
        <w:ind w:hanging="420" w:left="420"/>
        <w:jc w:val="both"/>
      </w:pPr>
      <w:r>
        <w:rPr>
          <w:rFonts w:ascii="宋体" w:hAnsi="宋体" w:eastAsia="宋体"/>
          <w:b w:val="0"/>
          <w:sz w:val="20"/>
        </w:rPr>
        <w:t>Shrout, P. E., &amp; Fleiss, J. L. (1979). Intraclass correlations: Uses in assessing rater reliability. Psychological Bulletin, 86(2), 420–428. https://doi.org/10.1037/0033-2909.86.2.420</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