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5DBB0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测量有源非线性电阻的伏安特性</w:t>
      </w:r>
    </w:p>
    <w:p w14:paraId="16D949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实验测量数据整理如表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/>
          <w:lang w:val="en-US" w:eastAsia="zh-CN"/>
        </w:rPr>
        <w:t>，使用</w:t>
      </w:r>
      <w:r>
        <w:rPr>
          <w:rFonts w:hint="default" w:ascii="Times New Roman" w:hAnsi="Times New Roman" w:cs="Times New Roman"/>
          <w:lang w:val="en-US" w:eastAsia="zh-CN"/>
        </w:rPr>
        <w:t>Origin</w:t>
      </w:r>
      <w:r>
        <w:rPr>
          <w:rFonts w:hint="eastAsia" w:ascii="Times New Roman" w:hAnsi="Times New Roman" w:cs="Times New Roman"/>
          <w:lang w:val="en-US" w:eastAsia="zh-CN"/>
        </w:rPr>
        <w:t>作伏安特性曲线图如图1，并分别拟合出各段的电阻值。</w:t>
      </w:r>
    </w:p>
    <w:p w14:paraId="230C77A6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 有源非线性电阻伏安特性的测量</w:t>
      </w:r>
    </w:p>
    <w:tbl>
      <w:tblPr>
        <w:tblStyle w:val="2"/>
        <w:tblW w:w="101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 w14:paraId="14A75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2A6D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EC74A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0.057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4735E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0.356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4EC69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0.652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416F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0.946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858D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1.253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C3F29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1.550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2E67DA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1.647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2C02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1.753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4EB0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1.851 </w:t>
            </w:r>
          </w:p>
        </w:tc>
      </w:tr>
      <w:tr w14:paraId="4A1E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B9D2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I/mA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378B4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0.094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B8F0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0.321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298C7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0.546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32F5E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0.769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7D5D5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1.002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1ED3E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1.226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D44BD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1.300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4911E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1.360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86376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1.405 </w:t>
            </w:r>
          </w:p>
        </w:tc>
      </w:tr>
      <w:tr w14:paraId="67B80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3904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6A4B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1.952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6E143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2.047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93B3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2.160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CF812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2.451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77CBB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2.748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8DD8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3.052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BE10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3.347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E128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3.652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E9A5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3.951 </w:t>
            </w:r>
          </w:p>
        </w:tc>
      </w:tr>
      <w:tr w14:paraId="396D5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085E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I/mA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99B5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1.445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ABD2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1.490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384F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1.531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36D6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1.649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DA8B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1.770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4D21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1.894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1E99C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2.015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85B48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2.139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D345A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2.261 </w:t>
            </w:r>
          </w:p>
        </w:tc>
      </w:tr>
      <w:tr w14:paraId="7819A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0029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FBB9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4.250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F14F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4.554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E93D9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4.849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3E653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5.150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1F6F8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5.454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45815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5.746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EFDE2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6.050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65098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6.347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AC1AD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6.649 </w:t>
            </w:r>
          </w:p>
        </w:tc>
      </w:tr>
      <w:tr w14:paraId="1C2E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4834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I/mA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F4AE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2.383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E7848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2.507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D88E2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2.627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BDAF8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2.751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E19A3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2.874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C3BC5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2.994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B83D6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3.118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68B80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3.239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1DB0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3.363 </w:t>
            </w:r>
          </w:p>
        </w:tc>
      </w:tr>
      <w:tr w14:paraId="29102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6368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58D4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6.952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ADCDC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7.252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DCAB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7.554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CB96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7.850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C9D9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8.153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28454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8.452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8316A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8.753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9943B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9.048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3513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9.347 </w:t>
            </w:r>
          </w:p>
        </w:tc>
      </w:tr>
      <w:tr w14:paraId="5AA76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64F5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I/mA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4D610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3.486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F9C34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3.609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EFB2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3.732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39A2B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3.852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29D8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3.977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A13C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4.100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FB5FE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4.222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24377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4.343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7FCD4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4.465 </w:t>
            </w:r>
          </w:p>
        </w:tc>
      </w:tr>
      <w:tr w14:paraId="7A19E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640B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8A3AE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9.651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AA61F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9.952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A329D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10.048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A924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10.151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84D70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10.248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5DE1F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10.353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A1F7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10.450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8F86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10.550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91C99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10.652 </w:t>
            </w:r>
          </w:p>
        </w:tc>
      </w:tr>
      <w:tr w14:paraId="57721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FDB3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I/mA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B4BB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4.588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5EE5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4.712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C91E7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4.751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F0978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4.793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6000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4.812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0A747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4.561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42BBD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4.329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FB6EF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4.090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50850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3.846 </w:t>
            </w:r>
          </w:p>
        </w:tc>
      </w:tr>
      <w:tr w14:paraId="77224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E3AD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A005E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10.750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3E45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10.850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2EEA2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11.151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16C5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11.450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9B8BD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11.752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0A7E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12.050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03FFB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12.150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8688F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12.221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338384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B2D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F43D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I/mA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5258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3.608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E67B2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3.371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547B3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2.656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D2383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1.941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151BA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1.225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37FB2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0.516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49D1C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0.281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4AB0F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0.110 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44B764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02083D3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066790" cy="3881755"/>
            <wp:effectExtent l="0" t="0" r="0" b="0"/>
            <wp:docPr id="1" name="图片 1" descr="微信图片_20251103012909_971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103012909_971_39"/>
                    <pic:cNvPicPr>
                      <a:picLocks noChangeAspect="1"/>
                    </pic:cNvPicPr>
                  </pic:nvPicPr>
                  <pic:blipFill>
                    <a:blip r:embed="rId4"/>
                    <a:srcRect l="1869" b="1530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3BEF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有源非线性电阻的伏安特性曲线图</w:t>
      </w:r>
    </w:p>
    <w:p w14:paraId="4582D1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拟合结果如下：</w:t>
      </w:r>
    </w:p>
    <w:p w14:paraId="2C871F27">
      <w:pPr>
        <w:numPr>
          <w:ilvl w:val="0"/>
          <w:numId w:val="0"/>
        </w:numPr>
        <w:jc w:val="left"/>
        <w:rPr>
          <w:rFonts w:hAnsi="Cambria Math" w:cs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/>
                <w:rPr>
                  <w:rFonts w:hint="eastAsia" w:ascii="Cambria Math" w:hAnsi="Cambria Math" w:cs="Times New Roman"/>
                  <w:lang w:val="en-US" w:eastAsia="zh-C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lang w:val="en-US" w:eastAsia="zh-CN"/>
            </w:rPr>
            <m:t>=0.75836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−3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eastAsia" w:ascii="Cambria Math" w:hAnsi="Cambria Math" w:cs="Cambria Math"/>
              <w:lang w:val="en-US" w:eastAsia="zh-CN"/>
            </w:rPr>
            <m:t>，</m:t>
          </m:r>
          <m:sSub>
            <m:sSubP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R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b</m:t>
                  </m: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Cambria Math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=1.3186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k</m:t>
          </m:r>
          <m:r>
            <m:rPr/>
            <w:rPr>
              <w:rFonts w:ascii="Cambria Math" w:hAnsi="Cambria Math" w:cs="Cambria Math"/>
              <w:lang w:val="en-US"/>
            </w:rPr>
            <m:t>Ω</m:t>
          </m:r>
        </m:oMath>
      </m:oMathPara>
    </w:p>
    <w:p w14:paraId="056E21E5">
      <w:pPr>
        <w:numPr>
          <w:ilvl w:val="0"/>
          <w:numId w:val="0"/>
        </w:numPr>
        <w:jc w:val="left"/>
        <w:rPr>
          <w:rFonts w:hAnsi="Cambria Math" w:cs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lang w:val="en-US" w:eastAsia="zh-CN"/>
                </w:rPr>
                <m:t>2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/>
                <w:rPr>
                  <w:rFonts w:hint="eastAsia" w:ascii="Cambria Math" w:hAnsi="Cambria Math" w:cs="Times New Roman"/>
                  <w:lang w:val="en-US" w:eastAsia="zh-C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Times New Roman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lang w:val="en-US" w:eastAsia="zh-CN"/>
            </w:rPr>
            <m:t>=0.</m:t>
          </m:r>
          <m:r>
            <m:rPr/>
            <w:rPr>
              <w:rFonts w:hint="eastAsia" w:ascii="Cambria Math" w:hAnsi="Cambria Math" w:cs="Times New Roman"/>
              <w:lang w:val="en-US" w:eastAsia="zh-CN"/>
            </w:rPr>
            <m:t>40827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−3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eastAsia" w:ascii="Cambria Math" w:hAnsi="Cambria Math" w:cs="Cambria Math"/>
              <w:lang w:val="en-US" w:eastAsia="zh-CN"/>
            </w:rPr>
            <m:t>，</m:t>
          </m:r>
          <m:sSub>
            <m:sSubP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R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b</m:t>
                  </m: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Cambria Math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 w:cs="Cambria Math"/>
              <w:lang w:val="en-US" w:eastAsia="zh-CN"/>
            </w:rPr>
            <m:t>2.4494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k</m:t>
          </m:r>
          <m:r>
            <m:rPr/>
            <w:rPr>
              <w:rFonts w:ascii="Cambria Math" w:hAnsi="Cambria Math" w:cs="Cambria Math"/>
              <w:lang w:val="en-US"/>
            </w:rPr>
            <m:t>Ω</m:t>
          </m:r>
        </m:oMath>
      </m:oMathPara>
    </w:p>
    <w:p w14:paraId="7AF776FE">
      <w:pPr>
        <w:numPr>
          <w:ilvl w:val="0"/>
          <w:numId w:val="0"/>
        </w:numPr>
        <w:jc w:val="left"/>
        <w:rPr>
          <w:rFonts w:hAnsi="Cambria Math" w:cs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lang w:val="en-US" w:eastAsia="zh-CN"/>
                </w:rPr>
                <m:t>3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/>
                <w:rPr>
                  <w:rFonts w:hint="eastAsia" w:ascii="Cambria Math" w:hAnsi="Cambria Math" w:cs="Times New Roman"/>
                  <w:lang w:val="en-US" w:eastAsia="zh-C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Times New Roman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lang w:val="en-US" w:eastAsia="zh-CN"/>
            </w:rPr>
            <m:t>=−</m:t>
          </m:r>
          <m:r>
            <m:rPr/>
            <w:rPr>
              <w:rFonts w:hint="eastAsia" w:ascii="Cambria Math" w:hAnsi="Cambria Math" w:cs="Times New Roman"/>
              <w:lang w:val="en-US" w:eastAsia="zh-CN"/>
            </w:rPr>
            <m:t>2.38226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−3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eastAsia" w:ascii="Cambria Math" w:hAnsi="Cambria Math" w:cs="Cambria Math"/>
              <w:lang w:val="en-US" w:eastAsia="zh-CN"/>
            </w:rPr>
            <m:t>，</m:t>
          </m:r>
          <m:sSub>
            <m:sSubP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R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cs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b</m:t>
                  </m: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cs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Cambria Math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=−</m:t>
          </m:r>
          <m:r>
            <m:rPr>
              <m:sty m:val="p"/>
            </m:rPr>
            <w:rPr>
              <w:rFonts w:hint="eastAsia" w:ascii="Cambria Math" w:hAnsi="Cambria Math" w:cs="Cambria Math"/>
              <w:lang w:val="en-US" w:eastAsia="zh-CN"/>
            </w:rPr>
            <m:t>0.4198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k</m:t>
          </m:r>
          <m:r>
            <m:rPr/>
            <w:rPr>
              <w:rFonts w:ascii="Cambria Math" w:hAnsi="Cambria Math" w:cs="Cambria Math"/>
              <w:lang w:val="en-US"/>
            </w:rPr>
            <m:t>Ω</m:t>
          </m:r>
        </m:oMath>
      </m:oMathPara>
    </w:p>
    <w:p w14:paraId="7DD9FC01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用示波器观察混沌现象</w:t>
      </w:r>
    </w:p>
    <w:p w14:paraId="001BF6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实验测量数据整理如表2，实验观测图像整理见表3。</w:t>
      </w:r>
    </w:p>
    <w:p w14:paraId="773936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表2 示波器观察混沌现象实验数据记录</w:t>
      </w:r>
    </w:p>
    <w:tbl>
      <w:tblPr>
        <w:tblStyle w:val="2"/>
        <w:tblW w:w="83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137"/>
        <w:gridCol w:w="1137"/>
        <w:gridCol w:w="1137"/>
        <w:gridCol w:w="1137"/>
        <w:gridCol w:w="1137"/>
        <w:gridCol w:w="1137"/>
      </w:tblGrid>
      <w:tr w14:paraId="279E1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24D8BC">
            <w:pPr>
              <w:rPr>
                <w:rFonts w:hint="eastAsia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2F81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单倍周期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9F18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Style w:val="4"/>
                <w:lang w:val="en-US" w:eastAsia="zh-CN" w:bidi="ar"/>
              </w:rPr>
              <w:t>倍周期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031A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  <w:r>
              <w:rPr>
                <w:rStyle w:val="4"/>
                <w:lang w:val="en-US" w:eastAsia="zh-CN" w:bidi="ar"/>
              </w:rPr>
              <w:t>倍周期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37D5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单吸引子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F53C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Style w:val="4"/>
                <w:lang w:val="en-US" w:eastAsia="zh-CN" w:bidi="ar"/>
              </w:rPr>
              <w:t>倍周期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63BC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双吸引子</w:t>
            </w:r>
          </w:p>
        </w:tc>
      </w:tr>
      <w:tr w14:paraId="4306D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509D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Style w:val="5"/>
                <w:rFonts w:eastAsia="宋体"/>
                <w:lang w:val="en-US" w:eastAsia="zh-CN" w:bidi="ar"/>
              </w:rPr>
              <w:t>0</w:t>
            </w:r>
            <w:r>
              <w:rPr>
                <w:rStyle w:val="6"/>
                <w:rFonts w:eastAsia="宋体"/>
                <w:lang w:val="en-US" w:eastAsia="zh-CN" w:bidi="ar"/>
              </w:rPr>
              <w:t>/kΩ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27C32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1.6712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B679D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1.6600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43EF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1.6544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425E3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1.6423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C34D5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1.6396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2DC6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1.4269</w:t>
            </w:r>
          </w:p>
        </w:tc>
      </w:tr>
      <w:tr w14:paraId="385A3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7559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eastAsia="宋体"/>
                <w:lang w:val="en-US" w:eastAsia="zh-CN" w:bidi="ar"/>
              </w:rPr>
              <w:t>C1</w:t>
            </w:r>
            <w:r>
              <w:rPr>
                <w:rStyle w:val="4"/>
                <w:lang w:val="en-US" w:eastAsia="zh-CN" w:bidi="ar"/>
              </w:rPr>
              <w:t>周期</w:t>
            </w:r>
            <w:r>
              <w:rPr>
                <w:rStyle w:val="6"/>
                <w:rFonts w:eastAsia="宋体"/>
                <w:lang w:val="en-US" w:eastAsia="zh-CN" w:bidi="ar"/>
              </w:rPr>
              <w:t>/ms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8C08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0.400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E4745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90BBF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13AFC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866BA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2427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779997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eastAsia="宋体"/>
          <w:lang w:val="en-US" w:eastAsia="zh-CN"/>
        </w:rPr>
      </w:pPr>
    </w:p>
    <w:p w14:paraId="6CD59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表3 示波器观察混沌现象实验图像记录</w:t>
      </w:r>
    </w:p>
    <w:tbl>
      <w:tblPr>
        <w:tblStyle w:val="2"/>
        <w:tblW w:w="97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9"/>
        <w:gridCol w:w="4860"/>
      </w:tblGrid>
      <w:tr w14:paraId="46BB9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8" w:hRule="atLeast"/>
          <w:jc w:val="center"/>
        </w:trPr>
        <w:tc>
          <w:tcPr>
            <w:tcW w:w="485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8257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37740"/>
                  <wp:effectExtent l="0" t="0" r="6350" b="635"/>
                  <wp:docPr id="14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3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1DF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23770"/>
                  <wp:effectExtent l="0" t="0" r="6350" b="5080"/>
                  <wp:docPr id="17" name="图片 15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2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0B2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971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162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单倍周期</w:t>
            </w:r>
          </w:p>
        </w:tc>
      </w:tr>
      <w:tr w14:paraId="162D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7" w:hRule="atLeast"/>
          <w:jc w:val="center"/>
        </w:trPr>
        <w:tc>
          <w:tcPr>
            <w:tcW w:w="485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D61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39010"/>
                  <wp:effectExtent l="0" t="0" r="6350" b="8890"/>
                  <wp:docPr id="16" name="图片 14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39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D27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23770"/>
                  <wp:effectExtent l="0" t="0" r="6350" b="5080"/>
                  <wp:docPr id="18" name="图片 16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2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C1E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  <w:jc w:val="center"/>
        </w:trPr>
        <w:tc>
          <w:tcPr>
            <w:tcW w:w="97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4F3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Style w:val="4"/>
                <w:lang w:val="en-US" w:eastAsia="zh-CN" w:bidi="ar"/>
              </w:rPr>
              <w:t>倍周期</w:t>
            </w:r>
          </w:p>
        </w:tc>
      </w:tr>
      <w:tr w14:paraId="4BB90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7" w:hRule="atLeast"/>
          <w:jc w:val="center"/>
        </w:trPr>
        <w:tc>
          <w:tcPr>
            <w:tcW w:w="485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C5A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34565"/>
                  <wp:effectExtent l="0" t="0" r="6350" b="3810"/>
                  <wp:docPr id="15" name="图片 17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7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3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E2E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34565"/>
                  <wp:effectExtent l="0" t="0" r="6350" b="3810"/>
                  <wp:docPr id="20" name="图片 19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3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CA3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71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B25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倍周期</w:t>
            </w:r>
          </w:p>
        </w:tc>
      </w:tr>
      <w:tr w14:paraId="2F160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7" w:hRule="atLeast"/>
          <w:jc w:val="center"/>
        </w:trPr>
        <w:tc>
          <w:tcPr>
            <w:tcW w:w="485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091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34565"/>
                  <wp:effectExtent l="0" t="0" r="6350" b="3810"/>
                  <wp:docPr id="19" name="图片 18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3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72F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34565"/>
                  <wp:effectExtent l="0" t="0" r="6350" b="3810"/>
                  <wp:docPr id="23" name="图片 20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0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3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CF5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97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1DE3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单吸引子</w:t>
            </w:r>
          </w:p>
        </w:tc>
      </w:tr>
      <w:tr w14:paraId="2F372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7" w:hRule="atLeast"/>
          <w:jc w:val="center"/>
        </w:trPr>
        <w:tc>
          <w:tcPr>
            <w:tcW w:w="485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210B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23770"/>
                  <wp:effectExtent l="0" t="0" r="6350" b="5080"/>
                  <wp:docPr id="21" name="图片 21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2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175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23770"/>
                  <wp:effectExtent l="0" t="0" r="6350" b="5080"/>
                  <wp:docPr id="25" name="图片 23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3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2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731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719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FD5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倍周期</w:t>
            </w:r>
          </w:p>
        </w:tc>
      </w:tr>
      <w:tr w14:paraId="51A0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7" w:hRule="atLeast"/>
          <w:jc w:val="center"/>
        </w:trPr>
        <w:tc>
          <w:tcPr>
            <w:tcW w:w="485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496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23770"/>
                  <wp:effectExtent l="0" t="0" r="6350" b="5080"/>
                  <wp:docPr id="22" name="图片 22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2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8E8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984500" cy="2223770"/>
                  <wp:effectExtent l="0" t="0" r="6350" b="5080"/>
                  <wp:docPr id="24" name="图片 24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22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EDF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71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2AF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双吸引子</w:t>
            </w:r>
          </w:p>
        </w:tc>
      </w:tr>
    </w:tbl>
    <w:p w14:paraId="7DB3896D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实验收获与反思</w:t>
      </w:r>
    </w:p>
    <w:p w14:paraId="5F6C8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1）</w:t>
      </w:r>
      <w:r>
        <w:rPr>
          <w:rFonts w:hint="default" w:ascii="Times New Roman" w:eastAsia="宋体"/>
          <w:b/>
          <w:bCs/>
          <w:lang w:val="en-US" w:eastAsia="zh-CN"/>
        </w:rPr>
        <w:t>实验收获</w:t>
      </w:r>
    </w:p>
    <w:p w14:paraId="3D4012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t>1. 通过调节电阻</w:t>
      </w:r>
      <w:r>
        <w:rPr>
          <w:rFonts w:hint="eastAsia" w:ascii="Times New Roman" w:eastAsia="宋体"/>
          <w:lang w:val="en-US" w:eastAsia="zh-CN"/>
        </w:rPr>
        <w:t>R</w:t>
      </w:r>
      <w:r>
        <w:rPr>
          <w:rFonts w:hint="eastAsia" w:ascii="Times New Roman" w:eastAsia="宋体"/>
          <w:vertAlign w:val="subscript"/>
          <w:lang w:val="en-US" w:eastAsia="zh-CN"/>
        </w:rPr>
        <w:t>0</w:t>
      </w:r>
      <w:r>
        <w:rPr>
          <w:rFonts w:hint="default" w:ascii="Times New Roman" w:eastAsia="宋体"/>
          <w:lang w:val="en-US" w:eastAsia="zh-CN"/>
        </w:rPr>
        <w:t>，在示波器上亲眼观察到电路输出从周期振荡，经历倍周期分岔，最终进入混沌状态的过程</w:t>
      </w:r>
      <w:r>
        <w:rPr>
          <w:rFonts w:hint="eastAsia" w:ascii="Times New Roman" w:eastAsia="宋体"/>
          <w:lang w:val="en-US" w:eastAsia="zh-CN"/>
        </w:rPr>
        <w:t>，</w:t>
      </w:r>
      <w:r>
        <w:rPr>
          <w:rFonts w:hint="default" w:ascii="Times New Roman" w:eastAsia="宋体"/>
          <w:lang w:val="en-US" w:eastAsia="zh-CN"/>
        </w:rPr>
        <w:t>让我对混沌现象有了直观认识</w:t>
      </w:r>
      <w:r>
        <w:rPr>
          <w:rFonts w:hint="eastAsia" w:ascii="Times New Roman" w:eastAsia="宋体"/>
          <w:lang w:val="en-US" w:eastAsia="zh-CN"/>
        </w:rPr>
        <w:t>；</w:t>
      </w:r>
    </w:p>
    <w:p w14:paraId="002A6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t>2. 掌握了</w:t>
      </w:r>
      <w:r>
        <w:rPr>
          <w:rFonts w:hint="eastAsia" w:ascii="Times New Roman" w:eastAsia="宋体"/>
          <w:lang w:val="en-US" w:eastAsia="zh-CN"/>
        </w:rPr>
        <w:t>示波器的使用方法</w:t>
      </w:r>
      <w:r>
        <w:rPr>
          <w:rFonts w:hint="default" w:ascii="Times New Roman" w:eastAsia="宋体"/>
          <w:lang w:val="en-US" w:eastAsia="zh-CN"/>
        </w:rPr>
        <w:t>。我学会了使用示波器的 X-Y 模式观测</w:t>
      </w:r>
      <w:r>
        <w:rPr>
          <w:rFonts w:hint="eastAsia" w:ascii="Times New Roman" w:eastAsia="宋体"/>
          <w:lang w:val="en-US" w:eastAsia="zh-CN"/>
        </w:rPr>
        <w:t>李萨如</w:t>
      </w:r>
      <w:r>
        <w:rPr>
          <w:rFonts w:hint="default" w:ascii="Times New Roman" w:eastAsia="宋体"/>
          <w:lang w:val="en-US" w:eastAsia="zh-CN"/>
        </w:rPr>
        <w:t>图，从而能够区分周期运动的闭合曲线和混沌运动的吸引子</w:t>
      </w:r>
      <w:r>
        <w:rPr>
          <w:rFonts w:hint="eastAsia" w:ascii="Times New Roman" w:eastAsia="宋体"/>
          <w:lang w:val="en-US" w:eastAsia="zh-CN"/>
        </w:rPr>
        <w:t>；</w:t>
      </w:r>
    </w:p>
    <w:p w14:paraId="41F722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</w:t>
      </w:r>
      <w:r>
        <w:rPr>
          <w:rFonts w:hint="default" w:ascii="Times New Roman" w:eastAsia="宋体"/>
          <w:lang w:val="en-US" w:eastAsia="zh-CN"/>
        </w:rPr>
        <w:t xml:space="preserve"> 熟悉了混沌的基本</w:t>
      </w:r>
      <w:r>
        <w:rPr>
          <w:rFonts w:hint="eastAsia" w:ascii="Times New Roman" w:eastAsia="宋体"/>
          <w:lang w:val="en-US" w:eastAsia="zh-CN"/>
        </w:rPr>
        <w:t>判据</w:t>
      </w:r>
      <w:r>
        <w:rPr>
          <w:rFonts w:hint="default" w:ascii="Times New Roman" w:eastAsia="宋体"/>
          <w:lang w:val="en-US" w:eastAsia="zh-CN"/>
        </w:rPr>
        <w:t>。 实验让我直接</w:t>
      </w:r>
      <w:r>
        <w:rPr>
          <w:rFonts w:hint="eastAsia" w:ascii="Times New Roman" w:eastAsia="宋体"/>
          <w:lang w:val="en-US" w:eastAsia="zh-CN"/>
        </w:rPr>
        <w:t>明晰</w:t>
      </w:r>
      <w:r>
        <w:rPr>
          <w:rFonts w:hint="default" w:ascii="Times New Roman" w:eastAsia="宋体"/>
          <w:lang w:val="en-US" w:eastAsia="zh-CN"/>
        </w:rPr>
        <w:t>了混沌的几个</w:t>
      </w:r>
      <w:r>
        <w:rPr>
          <w:rFonts w:hint="eastAsia" w:ascii="Times New Roman" w:eastAsia="宋体"/>
          <w:lang w:val="en-US" w:eastAsia="zh-CN"/>
        </w:rPr>
        <w:t>基本判据</w:t>
      </w:r>
      <w:r>
        <w:rPr>
          <w:rFonts w:hint="default" w:ascii="Times New Roman" w:eastAsia="宋体"/>
          <w:lang w:val="en-US" w:eastAsia="zh-CN"/>
        </w:rPr>
        <w:t>，包括</w:t>
      </w:r>
      <w:r>
        <w:rPr>
          <w:rFonts w:hint="eastAsia" w:ascii="Times New Roman" w:eastAsia="宋体"/>
          <w:lang w:val="en-US" w:eastAsia="zh-CN"/>
        </w:rPr>
        <w:t>频谱分析、系统的局部不稳定、奇异吸引子的存在</w:t>
      </w:r>
      <w:r>
        <w:rPr>
          <w:rFonts w:hint="default" w:ascii="Times New Roman" w:eastAsia="宋体"/>
          <w:lang w:val="en-US" w:eastAsia="zh-CN"/>
        </w:rPr>
        <w:t>。</w:t>
      </w:r>
    </w:p>
    <w:p w14:paraId="42932C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2）</w:t>
      </w:r>
      <w:r>
        <w:rPr>
          <w:rFonts w:hint="default" w:ascii="Times New Roman" w:eastAsia="宋体"/>
          <w:b/>
          <w:bCs/>
          <w:lang w:val="en-US" w:eastAsia="zh-CN"/>
        </w:rPr>
        <w:t>实验反思</w:t>
      </w:r>
    </w:p>
    <w:p w14:paraId="6E38A6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t>1. 参数调节需要耐心和细致。混沌现象只出现在特定的参数范围内。实验中</w:t>
      </w:r>
      <w:r>
        <w:rPr>
          <w:rFonts w:hint="eastAsia" w:ascii="Times New Roman" w:eastAsia="宋体"/>
          <w:lang w:val="en-US" w:eastAsia="zh-CN"/>
        </w:rPr>
        <w:t>，需非常</w:t>
      </w:r>
      <w:r>
        <w:rPr>
          <w:rFonts w:hint="default" w:ascii="Times New Roman" w:eastAsia="宋体"/>
          <w:lang w:val="en-US" w:eastAsia="zh-CN"/>
        </w:rPr>
        <w:t>缓慢</w:t>
      </w:r>
      <w:r>
        <w:rPr>
          <w:rFonts w:hint="eastAsia" w:ascii="Times New Roman" w:eastAsia="宋体"/>
          <w:lang w:val="en-US" w:eastAsia="zh-CN"/>
        </w:rPr>
        <w:t>仔细</w:t>
      </w:r>
      <w:r>
        <w:rPr>
          <w:rFonts w:hint="default" w:ascii="Times New Roman" w:eastAsia="宋体"/>
          <w:lang w:val="en-US" w:eastAsia="zh-CN"/>
        </w:rPr>
        <w:t>调节</w:t>
      </w:r>
      <w:r>
        <w:rPr>
          <w:rFonts w:hint="eastAsia" w:ascii="Times New Roman" w:eastAsia="宋体"/>
          <w:lang w:val="en-US" w:eastAsia="zh-CN"/>
        </w:rPr>
        <w:t>R</w:t>
      </w:r>
      <w:r>
        <w:rPr>
          <w:rFonts w:hint="eastAsia" w:ascii="Times New Roman" w:eastAsia="宋体"/>
          <w:vertAlign w:val="subscript"/>
          <w:lang w:val="en-US" w:eastAsia="zh-CN"/>
        </w:rPr>
        <w:t>0</w:t>
      </w:r>
      <w:r>
        <w:rPr>
          <w:rFonts w:hint="default" w:ascii="Times New Roman" w:eastAsia="宋体"/>
          <w:lang w:val="en-US" w:eastAsia="zh-CN"/>
        </w:rPr>
        <w:t>才能清晰地捕捉到</w:t>
      </w:r>
      <w:r>
        <w:rPr>
          <w:rFonts w:hint="eastAsia" w:ascii="Times New Roman" w:eastAsia="宋体"/>
          <w:lang w:val="en-US" w:eastAsia="zh-CN"/>
        </w:rPr>
        <w:t>倍周期</w:t>
      </w:r>
      <w:r>
        <w:rPr>
          <w:rFonts w:hint="default" w:ascii="Times New Roman" w:eastAsia="宋体"/>
          <w:lang w:val="en-US" w:eastAsia="zh-CN"/>
        </w:rPr>
        <w:t>和混沌区，稍有疏忽就可能错过</w:t>
      </w:r>
      <w:r>
        <w:rPr>
          <w:rFonts w:hint="eastAsia" w:ascii="Times New Roman" w:eastAsia="宋体"/>
          <w:lang w:val="en-US" w:eastAsia="zh-CN"/>
        </w:rPr>
        <w:t>；</w:t>
      </w:r>
    </w:p>
    <w:p w14:paraId="15ED93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t>2. 对混沌的定量分析有待深入。本次实验</w:t>
      </w:r>
      <w:r>
        <w:rPr>
          <w:rFonts w:hint="eastAsia" w:ascii="Times New Roman" w:eastAsia="宋体"/>
          <w:lang w:val="en-US" w:eastAsia="zh-CN"/>
        </w:rPr>
        <w:t>中</w:t>
      </w:r>
      <w:r>
        <w:rPr>
          <w:rFonts w:hint="default" w:ascii="Times New Roman" w:eastAsia="宋体"/>
          <w:lang w:val="en-US" w:eastAsia="zh-CN"/>
        </w:rPr>
        <w:t>主要是定性观察</w:t>
      </w:r>
      <w:r>
        <w:rPr>
          <w:rFonts w:hint="eastAsia" w:ascii="Times New Roman" w:eastAsia="宋体"/>
          <w:lang w:val="en-US" w:eastAsia="zh-CN"/>
        </w:rPr>
        <w:t>，后续在学习过程中可以更加深入地对混沌现象进行定量分析。</w:t>
      </w:r>
    </w:p>
    <w:p w14:paraId="56B08F14">
      <w:pPr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br w:type="page"/>
      </w:r>
    </w:p>
    <w:p w14:paraId="40D2C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eastAsia="宋体"/>
          <w:b/>
          <w:bCs/>
          <w:sz w:val="28"/>
          <w:szCs w:val="36"/>
          <w:lang w:val="en-US" w:eastAsia="zh-CN"/>
        </w:rPr>
      </w:pPr>
      <w:r>
        <w:rPr>
          <w:rFonts w:hint="eastAsia" w:ascii="Times New Roman" w:eastAsia="宋体"/>
          <w:b/>
          <w:bCs/>
          <w:sz w:val="28"/>
          <w:szCs w:val="36"/>
          <w:lang w:val="en-US" w:eastAsia="zh-CN"/>
        </w:rPr>
        <w:t>附页：</w:t>
      </w:r>
    </w:p>
    <w:p w14:paraId="1D4F9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972175" cy="2997200"/>
            <wp:effectExtent l="0" t="0" r="0" b="3175"/>
            <wp:docPr id="7" name="图片 7" descr="b98a35b7012217c45ed414c490e55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98a35b7012217c45ed414c490e554b7"/>
                    <pic:cNvPicPr>
                      <a:picLocks noChangeAspect="1"/>
                    </pic:cNvPicPr>
                  </pic:nvPicPr>
                  <pic:blipFill>
                    <a:blip r:embed="rId17"/>
                    <a:srcRect r="49378" b="5840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C19C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图3 思考题2迭代MATLAB代码</w:t>
      </w:r>
    </w:p>
    <w:p w14:paraId="0CF0B8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4608830" cy="3810000"/>
            <wp:effectExtent l="0" t="0" r="1270" b="0"/>
            <wp:docPr id="6" name="图片 6" descr="91b366427f653ee1a4b49c8e39f1c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1b366427f653ee1a4b49c8e39f1c7e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8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图4 思考题2迭代生成k-x图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-Bold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A040AF"/>
    <w:multiLevelType w:val="singleLevel"/>
    <w:tmpl w:val="6FA040A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5429D"/>
    <w:rsid w:val="22D51951"/>
    <w:rsid w:val="76E91350"/>
    <w:rsid w:val="79E5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">
    <w:name w:val="font51"/>
    <w:basedOn w:val="3"/>
    <w:uiPriority w:val="0"/>
    <w:rPr>
      <w:rFonts w:hint="default" w:ascii="Times New Roman" w:hAnsi="Times New Roman" w:cs="Times New Roman"/>
      <w:color w:val="000000"/>
      <w:sz w:val="22"/>
      <w:szCs w:val="22"/>
      <w:u w:val="none"/>
      <w:vertAlign w:val="subscript"/>
    </w:rPr>
  </w:style>
  <w:style w:type="character" w:customStyle="1" w:styleId="6">
    <w:name w:val="font21"/>
    <w:basedOn w:val="3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7">
    <w:name w:val="font31"/>
    <w:basedOn w:val="3"/>
    <w:uiPriority w:val="0"/>
    <w:rPr>
      <w:rFonts w:hint="default" w:ascii="Times New Roman" w:hAnsi="Times New Roman" w:cs="Times New Roman"/>
      <w:color w:val="000000"/>
      <w:sz w:val="22"/>
      <w:szCs w:val="22"/>
      <w:u w:val="none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727</Words>
  <Characters>1348</Characters>
  <Lines>0</Lines>
  <Paragraphs>0</Paragraphs>
  <TotalTime>17</TotalTime>
  <ScaleCrop>false</ScaleCrop>
  <LinksUpToDate>false</LinksUpToDate>
  <CharactersWithSpaces>1470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2025-11-02T15:45:00Z</dcterms:created>
  <dc:creator>阡陌</dc:creator>
  <cp:lastModifiedBy>阡陌</cp:lastModifiedBy>
  <dcterms:modified xsi:type="dcterms:W3CDTF">2025-11-02T20:19:16Z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8A41AAD69FBE4337B90C2647421B72D9_11</vt:lpwstr>
  </property>
  <property fmtid="{D5CDD505-2E9C-101B-9397-08002B2CF9AE}" pid="4" name="KSOTemplateDocerSaveRecord">
    <vt:lpwstr>eyJoZGlkIjoiMzEwNTM5NzYwMDRjMzkwZTVkZjY2ODkwMGIxNGU0OTUiLCJ1c2VySWQiOiI3MTA2NDQ1NzQifQ==</vt:lpwstr>
  </property>
</Properties>
</file>