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机器学习1-3章温习总结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第一章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机器学习所研究的内容 说白了是一种训练计算机学习的“学习算法”，即如何教会机器自己学习。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机器学习始于训练样本，但是目标是让这个模型很好的适用于“新样本”，即“泛化能力”，故而有时过拟合是难以避免而且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学习过程：再所有假设组合的空间中进行探索，求得与训练集最最fit的假设。最后这个假设往往就是学习所得的结果，但是有可能存在多个不同的假设都很fit训练集，这时则考虑归纳偏好。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归纳偏好由奥卡姆剃刀进行引导，即选择“更平滑”,“更简单”的一个假设，这是常用的，自然科学研究中最基本的原则。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归纳学习：从样例中学习，狭义的归纳学习是从训练数据中学得概念（应该是更为苛刻的要求，因为有限的训练集所得出的概念往往很难适用于所有样本，即很难有很强的泛化能力）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没有免费的午餐定理：看起来难以理解，实际上通过书上计算可得出对于不同学习算法，总误差的期望性能与学习算法无关。即所有的算法都和胡猜拥有一样的可能产生误差大小的可能性。所以需要针对具体问题具体分析，找到不同问题偏重的方面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人工智能从“推理期”——“知识期”到面临“知识工程瓶颈”，机器学习是研究发展到一定阶段的必然产物。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第二章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NP难：P问题是可以在多项式时间内被确定机(通常意义的计算机)解决的问题，</w:t>
      </w: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ab/>
        <w:t>NP(Non-Deterministic Polynomial, 非确定多项式)问题,是指可以在多项式时间内被非确定机(他可以猜,他总是能猜到最能满足你需要的那种选择,如果你让他解决n皇后问题,他只要猜n次就能完成----每次都是那么幸运)解决的问题。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即不是所有机器学习的任务都是能再多项式时间内解决（是NP问题），但是有效的学习算法是P问题，NP!=P。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自助法：用于数据集较小，难以有效划分训练/测试集是有用，对集成学习等方法有很大的好处，但是改变了初始数据集的分布，引入估计偏差。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留出法、交叉验证：用于初始数据量充足。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泛化能力性能度量：回归：均方误差</w:t>
      </w:r>
    </w:p>
    <w:p>
      <w:pP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 xml:space="preserve">                       分类任务：accuracy 精度</w:t>
      </w:r>
    </w:p>
    <w:p>
      <w:pPr>
        <w:ind w:left="29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Error-rate 错误率</w:t>
      </w:r>
    </w:p>
    <w:p>
      <w:pPr>
        <w:ind w:left="29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Precision 查准率</w:t>
      </w:r>
    </w:p>
    <w:p>
      <w:pPr>
        <w:ind w:left="29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Recall 查全率</w:t>
      </w:r>
    </w:p>
    <w:p>
      <w:pPr>
        <w:ind w:left="29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F1 （查准率和查全率的调和平均）</w:t>
      </w:r>
    </w:p>
    <w:p>
      <w:pPr>
        <w:ind w:left="29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比较检验：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假设检验：得到一次测试错误率：二项检验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 xml:space="preserve"> 由多次留出法和交叉验证多次训练、测试：t检验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k折交叉验证即可用“成对t检验”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若测试错误率小于某个临界值，则假设不可拒绝（应该是两个比较的学习器的性能没有显著差别）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多个算法比较时运用基于算法排序的Friedman检验；列表排序，给出序值。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偏差：算法本身拟合能力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方差：不同的数据集对学习性能的变化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  <w:t>噪声：学习问题本身的难度（所有算法所能达到的期望方差下界）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第三章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线性回归：输入属性只有一个，学得一个函数使得均方误差最小化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多元线性回归则利用矩阵得运算，可能有多租解，这时由学习算法的归纳偏好决定，可以引入正则化项。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“极大似然法”令每个样本属于其真实标记得概率越大越好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线性判别分析：“类内散度矩阵”同类样例投影点得协方差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“类间散度矩阵”一类阳历的投影点尽可能远离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应用到多类时，“全局散度矩阵”，“类内散度矩阵”重定义为每个类别散度矩阵之和。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多分类学习的基本思路：拆解法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拆分策略：一对一 OvO  N个类别两两配对 N(N-1)/2个二分类任务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 xml:space="preserve">  一对其余 OvR N个分类任务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 xml:space="preserve">                  多对多 MvM 纠错输出码 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编码：N个类别M次划分，M个训练集训练M个分类器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 xml:space="preserve">        译码：用M个分类器分别对测试样本进行预测，返回其中距离最小的类别作为预</w:t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测的类别结果。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类别划分：编码矩阵（二元码 分为正类反类，三元码 分为正类反类+停用类）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（对于同一个学习任务，ECOC编码越长，纠错能力越强，但是编码越长，所训练</w:t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的分类器越多）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Class-imbalance 分类任务中不同类别的训练样例数目差别很大。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基本策略：对预测值进行调整，进行“再缩放 rescaling”（也是代价敏感学习的基础）这是根据训练样例中正例与反例的比例来调整，而不再是直接用0.5作为阈值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判断。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做法：1.对训练集的反类样例进行欠采样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对训练集里的正类样例进行过采样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直接基于原始训练集学习，但再用训练好的分类器进行预测时，将再缩放加入到决策过程中，——“阈值移动 threshold-moving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left="2940" w:leftChars="0"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0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0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40807</dc:creator>
  <cp:lastModifiedBy>卓</cp:lastModifiedBy>
  <dcterms:modified xsi:type="dcterms:W3CDTF">2018-03-06T12:49:04Z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