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pPr>
    </w:p>
    <w:p>
      <w:pPr>
        <w:pStyle w:val="Title"/>
        <w:spacing w:after="160"/>
      </w:pPr>
      <w:r>
        <w:rPr>
          <w:rFonts w:ascii="Aptos" w:hAnsi="Aptos"/>
          <w:b/>
          <w:color w:val="000000"/>
          <w:sz w:val="58"/>
        </w:rPr>
        <w:t>TrustHold Project Guide</w:t>
      </w:r>
    </w:p>
    <w:p>
      <w:pPr>
        <w:spacing w:after="440"/>
      </w:pPr>
      <w:r>
        <w:rPr>
          <w:rFonts w:ascii="Aptos" w:hAnsi="Aptos"/>
          <w:b/>
          <w:color w:val="18364D"/>
          <w:sz w:val="36"/>
        </w:rPr>
        <w:t>The Cost of Fraud</w:t>
      </w:r>
    </w:p>
    <w:p>
      <w:pPr>
        <w:keepLines w:val="0"/>
        <w:spacing w:after="440" w:before="0" w:line="259" w:lineRule="auto"/>
      </w:pPr>
      <w:r>
        <w:rPr>
          <w:rFonts w:ascii="Aptos" w:hAnsi="Aptos"/>
          <w:color w:val="202A33"/>
          <w:sz w:val="20"/>
        </w:rPr>
        <w:t>A complete explanation of the synthetic data, investigation tools, models, decisions, economics, and results.</w:t>
      </w:r>
    </w:p>
    <w:p>
      <w:pPr>
        <w:keepLines w:val="0"/>
        <w:spacing w:after="40" w:before="0" w:line="259" w:lineRule="auto"/>
      </w:pPr>
      <w:r>
        <w:rPr>
          <w:rFonts w:ascii="Aptos" w:hAnsi="Aptos"/>
          <w:color w:val="202A33"/>
          <w:sz w:val="20"/>
        </w:rPr>
        <w:t>Version 1.0  |  September 30, 2026</w:t>
      </w:r>
    </w:p>
    <w:p>
      <w:pPr>
        <w:keepLines w:val="0"/>
        <w:spacing w:after="0" w:before="0" w:line="259" w:lineRule="auto"/>
      </w:pPr>
      <w:r>
        <w:rPr>
          <w:rFonts w:ascii="Aptos" w:hAnsi="Aptos"/>
          <w:color w:val="202A33"/>
          <w:sz w:val="20"/>
        </w:rPr>
        <w:t>Project repository  |  github.com/YvonneTsa/Quest-of-Trust</w:t>
      </w:r>
    </w:p>
    <w:p>
      <w:r>
        <w:br w:type="page"/>
      </w:r>
    </w:p>
    <w:p>
      <w:pPr>
        <w:pStyle w:val="Heading1"/>
        <w:keepNext/>
        <w:spacing w:before="240" w:after="100"/>
      </w:pPr>
      <w:r>
        <w:rPr>
          <w:rFonts w:ascii="Aptos" w:hAnsi="Aptos"/>
          <w:b/>
          <w:color w:val="000000"/>
          <w:sz w:val="34"/>
        </w:rPr>
        <w:t>How to Use This Guide</w:t>
      </w:r>
    </w:p>
    <w:p>
      <w:pPr>
        <w:keepLines w:val="0"/>
        <w:spacing w:after="120" w:before="0" w:line="259" w:lineRule="auto"/>
      </w:pPr>
      <w:r>
        <w:rPr>
          <w:rFonts w:ascii="Aptos" w:hAnsi="Aptos"/>
          <w:color w:val="202A33"/>
          <w:sz w:val="20"/>
        </w:rPr>
        <w:t>This guide explains how TrustHold works from the first generated customer through the final decision comparison. It is written for both someone learning the concepts and someone reviewing the project as a portfolio artifact. Start with the quick start if you want to run it; use the code map and table inventory when you want to inspect a specific part.</w:t>
      </w:r>
    </w:p>
    <w:p>
      <w:pPr>
        <w:keepLines w:val="0"/>
        <w:spacing w:after="120" w:before="0" w:line="259" w:lineRule="auto"/>
      </w:pPr>
      <w:r>
        <w:rPr>
          <w:rFonts w:ascii="Aptos" w:hAnsi="Aptos"/>
          <w:color w:val="202A33"/>
          <w:sz w:val="20"/>
        </w:rPr>
        <w:t>The project is a reproducible educational simulation. It does not use real customer or fraud data. All business costs, fraud patterns, customer profiles, and outcomes are fictional assumptions. Thirty generated seeds show run-to-run variation inside this simulator, not uncertainty for a real payments population.</w:t>
      </w:r>
    </w:p>
    <w:p>
      <w:pPr>
        <w:pStyle w:val="Heading2"/>
        <w:keepNext/>
        <w:spacing w:before="160" w:after="100"/>
      </w:pPr>
      <w:r>
        <w:rPr>
          <w:rFonts w:ascii="Aptos" w:hAnsi="Aptos"/>
          <w:b/>
          <w:color w:val="000000"/>
          <w:sz w:val="25"/>
        </w:rPr>
        <w:t>Contents</w:t>
      </w:r>
    </w:p>
    <w:p>
      <w:pPr>
        <w:keepLines w:val="0"/>
        <w:spacing w:after="40" w:before="0" w:line="259" w:lineRule="auto"/>
      </w:pPr>
      <w:r>
        <w:rPr>
          <w:rFonts w:ascii="Aptos" w:hAnsi="Aptos"/>
          <w:color w:val="202A33"/>
          <w:sz w:val="20"/>
        </w:rPr>
        <w:t>1  Project purpose and design</w:t>
      </w:r>
    </w:p>
    <w:p>
      <w:pPr>
        <w:keepLines w:val="0"/>
        <w:spacing w:after="40" w:before="0" w:line="259" w:lineRule="auto"/>
      </w:pPr>
      <w:r>
        <w:rPr>
          <w:rFonts w:ascii="Aptos" w:hAnsi="Aptos"/>
          <w:color w:val="202A33"/>
          <w:sz w:val="20"/>
        </w:rPr>
        <w:t>2  Quick start and ways to use the project</w:t>
      </w:r>
    </w:p>
    <w:p>
      <w:pPr>
        <w:keepLines w:val="0"/>
        <w:spacing w:after="40" w:before="0" w:line="259" w:lineRule="auto"/>
      </w:pPr>
      <w:r>
        <w:rPr>
          <w:rFonts w:ascii="Aptos" w:hAnsi="Aptos"/>
          <w:color w:val="202A33"/>
          <w:sz w:val="20"/>
        </w:rPr>
        <w:t>3  System flow and code map</w:t>
      </w:r>
    </w:p>
    <w:p>
      <w:pPr>
        <w:keepLines w:val="0"/>
        <w:spacing w:after="40" w:before="0" w:line="259" w:lineRule="auto"/>
      </w:pPr>
      <w:r>
        <w:rPr>
          <w:rFonts w:ascii="Aptos" w:hAnsi="Aptos"/>
          <w:color w:val="202A33"/>
          <w:sz w:val="20"/>
        </w:rPr>
        <w:t>4  How the synthetic world is generated</w:t>
      </w:r>
    </w:p>
    <w:p>
      <w:pPr>
        <w:keepLines w:val="0"/>
        <w:spacing w:after="40" w:before="0" w:line="259" w:lineRule="auto"/>
      </w:pPr>
      <w:r>
        <w:rPr>
          <w:rFonts w:ascii="Aptos" w:hAnsi="Aptos"/>
          <w:color w:val="202A33"/>
          <w:sz w:val="20"/>
        </w:rPr>
        <w:t>5  Fraud scenarios and evaluation labels</w:t>
      </w:r>
    </w:p>
    <w:p>
      <w:pPr>
        <w:keepLines w:val="0"/>
        <w:spacing w:after="40" w:before="0" w:line="259" w:lineRule="auto"/>
      </w:pPr>
      <w:r>
        <w:rPr>
          <w:rFonts w:ascii="Aptos" w:hAnsi="Aptos"/>
          <w:color w:val="202A33"/>
          <w:sz w:val="20"/>
        </w:rPr>
        <w:t>6  Data inventory and field meanings</w:t>
      </w:r>
    </w:p>
    <w:p>
      <w:pPr>
        <w:keepLines w:val="0"/>
        <w:spacing w:after="40" w:before="0" w:line="259" w:lineRule="auto"/>
      </w:pPr>
      <w:r>
        <w:rPr>
          <w:rFonts w:ascii="Aptos" w:hAnsi="Aptos"/>
          <w:color w:val="202A33"/>
          <w:sz w:val="20"/>
        </w:rPr>
        <w:t>7  Point-in-time features and leakage controls</w:t>
      </w:r>
    </w:p>
    <w:p>
      <w:pPr>
        <w:keepLines w:val="0"/>
        <w:spacing w:after="40" w:before="0" w:line="259" w:lineRule="auto"/>
      </w:pPr>
      <w:r>
        <w:rPr>
          <w:rFonts w:ascii="Aptos" w:hAnsi="Aptos"/>
          <w:color w:val="202A33"/>
          <w:sz w:val="20"/>
        </w:rPr>
        <w:t>8  Rules and logistic regression</w:t>
      </w:r>
    </w:p>
    <w:p>
      <w:pPr>
        <w:keepLines w:val="0"/>
        <w:spacing w:after="40" w:before="0" w:line="259" w:lineRule="auto"/>
      </w:pPr>
      <w:r>
        <w:rPr>
          <w:rFonts w:ascii="Aptos" w:hAnsi="Aptos"/>
          <w:color w:val="202A33"/>
          <w:sz w:val="20"/>
        </w:rPr>
        <w:t>9  Decisions, capacity, and economics</w:t>
      </w:r>
    </w:p>
    <w:p>
      <w:pPr>
        <w:keepLines w:val="0"/>
        <w:spacing w:after="40" w:before="0" w:line="259" w:lineRule="auto"/>
      </w:pPr>
      <w:r>
        <w:rPr>
          <w:rFonts w:ascii="Aptos" w:hAnsi="Aptos"/>
          <w:color w:val="202A33"/>
          <w:sz w:val="20"/>
        </w:rPr>
        <w:t>10  Evaluation results and how to read them</w:t>
      </w:r>
    </w:p>
    <w:p>
      <w:pPr>
        <w:keepLines w:val="0"/>
        <w:spacing w:after="40" w:before="0" w:line="259" w:lineRule="auto"/>
      </w:pPr>
      <w:r>
        <w:rPr>
          <w:rFonts w:ascii="Aptos" w:hAnsi="Aptos"/>
          <w:color w:val="202A33"/>
          <w:sz w:val="20"/>
        </w:rPr>
        <w:t>11  SQL investigations, network analysis, and monitoring</w:t>
      </w:r>
    </w:p>
    <w:p>
      <w:pPr>
        <w:keepLines w:val="0"/>
        <w:spacing w:after="40" w:before="0" w:line="259" w:lineRule="auto"/>
      </w:pPr>
      <w:r>
        <w:rPr>
          <w:rFonts w:ascii="Aptos" w:hAnsi="Aptos"/>
          <w:color w:val="202A33"/>
          <w:sz w:val="20"/>
        </w:rPr>
        <w:t>12  Dashboard, reports, notebook, and dataset tools</w:t>
      </w:r>
    </w:p>
    <w:p>
      <w:pPr>
        <w:keepLines w:val="0"/>
        <w:spacing w:after="40" w:before="0" w:line="259" w:lineRule="auto"/>
      </w:pPr>
      <w:r>
        <w:rPr>
          <w:rFonts w:ascii="Aptos" w:hAnsi="Aptos"/>
          <w:color w:val="202A33"/>
          <w:sz w:val="20"/>
        </w:rPr>
        <w:t>13  Storage choice and reproducibility</w:t>
      </w:r>
    </w:p>
    <w:p>
      <w:pPr>
        <w:keepLines w:val="0"/>
        <w:spacing w:after="40" w:before="0" w:line="259" w:lineRule="auto"/>
      </w:pPr>
      <w:r>
        <w:rPr>
          <w:rFonts w:ascii="Aptos" w:hAnsi="Aptos"/>
          <w:color w:val="202A33"/>
          <w:sz w:val="20"/>
        </w:rPr>
        <w:t>14  Limits, governance, and roadmap</w:t>
      </w:r>
    </w:p>
    <w:p>
      <w:pPr>
        <w:keepLines w:val="0"/>
        <w:spacing w:after="40" w:before="0" w:line="259" w:lineRule="auto"/>
      </w:pPr>
      <w:r>
        <w:rPr>
          <w:rFonts w:ascii="Aptos" w:hAnsi="Aptos"/>
          <w:color w:val="202A33"/>
          <w:sz w:val="20"/>
        </w:rPr>
        <w:t>15  Glossary and reference map</w:t>
      </w:r>
    </w:p>
    <w:p>
      <w:pPr>
        <w:keepLines w:val="0"/>
        <w:spacing w:after="40" w:before="0" w:line="259" w:lineRule="auto"/>
      </w:pPr>
      <w:r>
        <w:rPr>
          <w:rFonts w:ascii="Aptos" w:hAnsi="Aptos"/>
          <w:color w:val="202A33"/>
          <w:sz w:val="20"/>
        </w:rPr>
        <w:t>Appendix A  Worked transaction example</w:t>
      </w:r>
    </w:p>
    <w:p>
      <w:pPr>
        <w:keepLines w:val="0"/>
        <w:spacing w:after="40" w:before="0" w:line="259" w:lineRule="auto"/>
      </w:pPr>
      <w:r>
        <w:rPr>
          <w:rFonts w:ascii="Aptos" w:hAnsi="Aptos"/>
          <w:color w:val="202A33"/>
          <w:sz w:val="20"/>
        </w:rPr>
        <w:t>Appendix B  SQL examples and interpretation</w:t>
      </w:r>
    </w:p>
    <w:p>
      <w:pPr>
        <w:keepLines w:val="0"/>
        <w:spacing w:after="40" w:before="0" w:line="259" w:lineRule="auto"/>
      </w:pPr>
      <w:r>
        <w:rPr>
          <w:rFonts w:ascii="Aptos" w:hAnsi="Aptos"/>
          <w:color w:val="202A33"/>
          <w:sz w:val="20"/>
        </w:rPr>
        <w:t>Appendix C  Complete module reference</w:t>
      </w:r>
    </w:p>
    <w:p>
      <w:pPr>
        <w:keepLines w:val="0"/>
        <w:spacing w:after="40" w:before="0" w:line="259" w:lineRule="auto"/>
      </w:pPr>
      <w:r>
        <w:rPr>
          <w:rFonts w:ascii="Aptos" w:hAnsi="Aptos"/>
          <w:color w:val="202A33"/>
          <w:sz w:val="20"/>
        </w:rPr>
        <w:t>Appendix D  Troubleshooting and next experiments</w:t>
      </w:r>
    </w:p>
    <w:p>
      <w:r>
        <w:br w:type="page"/>
      </w:r>
    </w:p>
    <w:p>
      <w:pPr>
        <w:pStyle w:val="Heading1"/>
        <w:keepNext/>
        <w:spacing w:before="240" w:after="100"/>
      </w:pPr>
      <w:r>
        <w:rPr>
          <w:rFonts w:ascii="Aptos" w:hAnsi="Aptos"/>
          <w:b/>
          <w:color w:val="000000"/>
          <w:sz w:val="34"/>
        </w:rPr>
        <w:t>1  Project Purpose and Design</w:t>
      </w:r>
    </w:p>
    <w:p>
      <w:pPr>
        <w:keepLines w:val="0"/>
        <w:spacing w:after="120" w:before="0" w:line="259" w:lineRule="auto"/>
      </w:pPr>
      <w:r>
        <w:rPr>
          <w:rFonts w:ascii="Aptos" w:hAnsi="Aptos"/>
          <w:color w:val="202A33"/>
          <w:sz w:val="20"/>
        </w:rPr>
        <w:t>TrustHold asks a practical payments question: for each transaction, when should a business approve it, ask the customer for more proof, send it to an investigator, or decline it? A useful fraud system must reduce fraud losses while considering the cost of customer friction, the limited size of a human review team, and the revenue earned on legitimate activity.</w:t>
      </w:r>
    </w:p>
    <w:p>
      <w:pPr>
        <w:keepLines w:val="0"/>
        <w:spacing w:after="120" w:before="0" w:line="259" w:lineRule="auto"/>
      </w:pPr>
      <w:r>
        <w:rPr>
          <w:rFonts w:ascii="Aptos" w:hAnsi="Aptos"/>
          <w:color w:val="202A33"/>
          <w:sz w:val="20"/>
        </w:rPr>
        <w:t>The project follows each decision through a full analytical workflow. It creates a fictional customer and merchant population, generates ordinary transactions, injects known fraud patterns, builds signals using only past information, compares a transparent score with a simple model, converts scores into operating actions, and measures the resulting costs and trade-offs.</w:t>
      </w:r>
    </w:p>
    <w:tbl>
      <w:tblPr>
        <w:tblW w:type="auto" w:w="0"/>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W w:w="9936" w:type="dxa"/>
      </w:tblPr>
      <w:tblGrid>
        <w:gridCol w:w="2376"/>
        <w:gridCol w:w="7560"/>
      </w:tblGrid>
      <w:tr>
        <w:trPr>
          <w:tblHeader w:val="true"/>
          <w:cantSplit/>
        </w:trPr>
        <w:tc>
          <w:tcPr>
            <w:tcW w:type="dxa" w:w="2376"/>
            <w:vAlign w:val="center"/>
            <w:shd w:fill="18364D" w:val="clear"/>
            <w:tcMar>
              <w:top w:w="95" w:type="dxa"/>
              <w:start w:w="110" w:type="dxa"/>
              <w:bottom w:w="95" w:type="dxa"/>
              <w:end w:w="110" w:type="dxa"/>
            </w:tcMar>
          </w:tcPr>
          <w:p>
            <w:pPr>
              <w:spacing w:after="0" w:line="240" w:lineRule="auto"/>
            </w:pPr>
            <w:r>
              <w:rPr>
                <w:rFonts w:ascii="Aptos" w:hAnsi="Aptos"/>
                <w:b/>
                <w:color w:val="FFFFFF"/>
                <w:sz w:val="17"/>
              </w:rPr>
              <w:t>Design choice</w:t>
            </w:r>
          </w:p>
        </w:tc>
        <w:tc>
          <w:tcPr>
            <w:tcW w:type="dxa" w:w="7560"/>
            <w:vAlign w:val="center"/>
            <w:shd w:fill="18364D" w:val="clear"/>
            <w:tcMar>
              <w:top w:w="95" w:type="dxa"/>
              <w:start w:w="110" w:type="dxa"/>
              <w:bottom w:w="95" w:type="dxa"/>
              <w:end w:w="110" w:type="dxa"/>
            </w:tcMar>
          </w:tcPr>
          <w:p>
            <w:pPr>
              <w:spacing w:after="0" w:line="240" w:lineRule="auto"/>
            </w:pPr>
            <w:r>
              <w:rPr>
                <w:rFonts w:ascii="Aptos" w:hAnsi="Aptos"/>
                <w:b/>
                <w:color w:val="FFFFFF"/>
                <w:sz w:val="17"/>
              </w:rPr>
              <w:t>What it means in TrustHold</w:t>
            </w:r>
          </w:p>
        </w:tc>
      </w:tr>
      <w:tr>
        <w:trPr>
          <w:cantSplit/>
        </w:trPr>
        <w:tc>
          <w:tcPr>
            <w:tcW w:type="dxa" w:w="2376"/>
            <w:vAlign w:val="center"/>
            <w:tcMar>
              <w:top w:w="95" w:type="dxa"/>
              <w:start w:w="110" w:type="dxa"/>
              <w:bottom w:w="95" w:type="dxa"/>
              <w:end w:w="110" w:type="dxa"/>
            </w:tcMar>
          </w:tcPr>
          <w:p>
            <w:pPr>
              <w:spacing w:after="0" w:line="240" w:lineRule="auto"/>
            </w:pPr>
            <w:r>
              <w:rPr>
                <w:rFonts w:ascii="Aptos" w:hAnsi="Aptos"/>
                <w:color w:val="202A33"/>
                <w:sz w:val="17"/>
              </w:rPr>
              <w:t>Synthetic by design</w:t>
            </w:r>
          </w:p>
        </w:tc>
        <w:tc>
          <w:tcPr>
            <w:tcW w:type="dxa" w:w="7560"/>
            <w:vAlign w:val="center"/>
            <w:tcMar>
              <w:top w:w="95" w:type="dxa"/>
              <w:start w:w="110" w:type="dxa"/>
              <w:bottom w:w="95" w:type="dxa"/>
              <w:end w:w="110" w:type="dxa"/>
            </w:tcMar>
          </w:tcPr>
          <w:p>
            <w:pPr>
              <w:spacing w:after="0" w:line="240" w:lineRule="auto"/>
            </w:pPr>
            <w:r>
              <w:rPr>
                <w:rFonts w:ascii="Aptos" w:hAnsi="Aptos"/>
                <w:color w:val="202A33"/>
                <w:sz w:val="17"/>
              </w:rPr>
              <w:t>Every entity, event, label, cost, and result is fictional and repeatable from a fixed seed.</w:t>
            </w:r>
          </w:p>
        </w:tc>
      </w:tr>
      <w:tr>
        <w:trPr>
          <w:cantSplit/>
        </w:trPr>
        <w:tc>
          <w:tcPr>
            <w:tcW w:type="dxa" w:w="2376"/>
            <w:vAlign w:val="center"/>
            <w:tcMar>
              <w:top w:w="95" w:type="dxa"/>
              <w:start w:w="110" w:type="dxa"/>
              <w:bottom w:w="95" w:type="dxa"/>
              <w:end w:w="110" w:type="dxa"/>
            </w:tcMar>
            <w:shd w:fill="EAF1F6" w:val="clear"/>
          </w:tcPr>
          <w:p>
            <w:pPr>
              <w:spacing w:after="0" w:line="240" w:lineRule="auto"/>
            </w:pPr>
            <w:r>
              <w:rPr>
                <w:rFonts w:ascii="Aptos" w:hAnsi="Aptos"/>
                <w:color w:val="202A33"/>
                <w:sz w:val="17"/>
              </w:rPr>
              <w:t>Investigation before automation</w:t>
            </w:r>
          </w:p>
        </w:tc>
        <w:tc>
          <w:tcPr>
            <w:tcW w:type="dxa" w:w="7560"/>
            <w:vAlign w:val="center"/>
            <w:tcMar>
              <w:top w:w="95" w:type="dxa"/>
              <w:start w:w="110" w:type="dxa"/>
              <w:bottom w:w="95" w:type="dxa"/>
              <w:end w:w="110" w:type="dxa"/>
            </w:tcMar>
            <w:shd w:fill="EAF1F6" w:val="clear"/>
          </w:tcPr>
          <w:p>
            <w:pPr>
              <w:spacing w:after="0" w:line="240" w:lineRule="auto"/>
            </w:pPr>
            <w:r>
              <w:rPr>
                <w:rFonts w:ascii="Aptos" w:hAnsi="Aptos"/>
                <w:color w:val="202A33"/>
                <w:sz w:val="17"/>
              </w:rPr>
              <w:t>SQL queries and readable rule reasons expose patterns before the model is considered.</w:t>
            </w:r>
          </w:p>
        </w:tc>
      </w:tr>
      <w:tr>
        <w:trPr>
          <w:cantSplit/>
        </w:trPr>
        <w:tc>
          <w:tcPr>
            <w:tcW w:type="dxa" w:w="2376"/>
            <w:vAlign w:val="center"/>
            <w:tcMar>
              <w:top w:w="95" w:type="dxa"/>
              <w:start w:w="110" w:type="dxa"/>
              <w:bottom w:w="95" w:type="dxa"/>
              <w:end w:w="110" w:type="dxa"/>
            </w:tcMar>
          </w:tcPr>
          <w:p>
            <w:pPr>
              <w:spacing w:after="0" w:line="240" w:lineRule="auto"/>
            </w:pPr>
            <w:r>
              <w:rPr>
                <w:rFonts w:ascii="Aptos" w:hAnsi="Aptos"/>
                <w:color w:val="202A33"/>
                <w:sz w:val="17"/>
              </w:rPr>
              <w:t>Past-only features</w:t>
            </w:r>
          </w:p>
        </w:tc>
        <w:tc>
          <w:tcPr>
            <w:tcW w:type="dxa" w:w="7560"/>
            <w:vAlign w:val="center"/>
            <w:tcMar>
              <w:top w:w="95" w:type="dxa"/>
              <w:start w:w="110" w:type="dxa"/>
              <w:bottom w:w="95" w:type="dxa"/>
              <w:end w:w="110" w:type="dxa"/>
            </w:tcMar>
          </w:tcPr>
          <w:p>
            <w:pPr>
              <w:spacing w:after="0" w:line="240" w:lineRule="auto"/>
            </w:pPr>
            <w:r>
              <w:rPr>
                <w:rFonts w:ascii="Aptos" w:hAnsi="Aptos"/>
                <w:color w:val="202A33"/>
                <w:sz w:val="17"/>
              </w:rPr>
              <w:t>Rolling behavior counts are computed before the current transaction is added to history.</w:t>
            </w:r>
          </w:p>
        </w:tc>
      </w:tr>
      <w:tr>
        <w:trPr>
          <w:cantSplit/>
        </w:trPr>
        <w:tc>
          <w:tcPr>
            <w:tcW w:type="dxa" w:w="2376"/>
            <w:vAlign w:val="center"/>
            <w:tcMar>
              <w:top w:w="95" w:type="dxa"/>
              <w:start w:w="110" w:type="dxa"/>
              <w:bottom w:w="95" w:type="dxa"/>
              <w:end w:w="110" w:type="dxa"/>
            </w:tcMar>
            <w:shd w:fill="EAF1F6" w:val="clear"/>
          </w:tcPr>
          <w:p>
            <w:pPr>
              <w:spacing w:after="0" w:line="240" w:lineRule="auto"/>
            </w:pPr>
            <w:r>
              <w:rPr>
                <w:rFonts w:ascii="Aptos" w:hAnsi="Aptos"/>
                <w:color w:val="202A33"/>
                <w:sz w:val="17"/>
              </w:rPr>
              <w:t>Future-period evaluation</w:t>
            </w:r>
          </w:p>
        </w:tc>
        <w:tc>
          <w:tcPr>
            <w:tcW w:type="dxa" w:w="7560"/>
            <w:vAlign w:val="center"/>
            <w:tcMar>
              <w:top w:w="95" w:type="dxa"/>
              <w:start w:w="110" w:type="dxa"/>
              <w:bottom w:w="95" w:type="dxa"/>
              <w:end w:w="110" w:type="dxa"/>
            </w:tcMar>
            <w:shd w:fill="EAF1F6" w:val="clear"/>
          </w:tcPr>
          <w:p>
            <w:pPr>
              <w:spacing w:after="0" w:line="240" w:lineRule="auto"/>
            </w:pPr>
            <w:r>
              <w:rPr>
                <w:rFonts w:ascii="Aptos" w:hAnsi="Aptos"/>
                <w:color w:val="202A33"/>
                <w:sz w:val="17"/>
              </w:rPr>
              <w:t>The latest dates form a time holdout; rows are not randomly mixed across time.</w:t>
            </w:r>
          </w:p>
        </w:tc>
      </w:tr>
      <w:tr>
        <w:trPr>
          <w:cantSplit/>
        </w:trPr>
        <w:tc>
          <w:tcPr>
            <w:tcW w:type="dxa" w:w="2376"/>
            <w:vAlign w:val="center"/>
            <w:tcMar>
              <w:top w:w="95" w:type="dxa"/>
              <w:start w:w="110" w:type="dxa"/>
              <w:bottom w:w="95" w:type="dxa"/>
              <w:end w:w="110" w:type="dxa"/>
            </w:tcMar>
          </w:tcPr>
          <w:p>
            <w:pPr>
              <w:spacing w:after="0" w:line="240" w:lineRule="auto"/>
            </w:pPr>
            <w:r>
              <w:rPr>
                <w:rFonts w:ascii="Aptos" w:hAnsi="Aptos"/>
                <w:color w:val="202A33"/>
                <w:sz w:val="17"/>
              </w:rPr>
              <w:t>Business outcome</w:t>
            </w:r>
          </w:p>
        </w:tc>
        <w:tc>
          <w:tcPr>
            <w:tcW w:type="dxa" w:w="7560"/>
            <w:vAlign w:val="center"/>
            <w:tcMar>
              <w:top w:w="95" w:type="dxa"/>
              <w:start w:w="110" w:type="dxa"/>
              <w:bottom w:w="95" w:type="dxa"/>
              <w:end w:w="110" w:type="dxa"/>
            </w:tcMar>
          </w:tcPr>
          <w:p>
            <w:pPr>
              <w:spacing w:after="0" w:line="240" w:lineRule="auto"/>
            </w:pPr>
            <w:r>
              <w:rPr>
                <w:rFonts w:ascii="Aptos" w:hAnsi="Aptos"/>
                <w:color w:val="202A33"/>
                <w:sz w:val="17"/>
              </w:rPr>
              <w:t>The comparison includes losses, good-customer friction, review load, and payment margin.</w:t>
            </w:r>
          </w:p>
        </w:tc>
      </w:tr>
      <w:tr>
        <w:trPr>
          <w:cantSplit/>
        </w:trPr>
        <w:tc>
          <w:tcPr>
            <w:tcW w:type="dxa" w:w="2376"/>
            <w:vAlign w:val="center"/>
            <w:tcMar>
              <w:top w:w="95" w:type="dxa"/>
              <w:start w:w="110" w:type="dxa"/>
              <w:bottom w:w="95" w:type="dxa"/>
              <w:end w:w="110" w:type="dxa"/>
            </w:tcMar>
            <w:shd w:fill="EAF1F6" w:val="clear"/>
          </w:tcPr>
          <w:p>
            <w:pPr>
              <w:spacing w:after="0" w:line="240" w:lineRule="auto"/>
            </w:pPr>
            <w:r>
              <w:rPr>
                <w:rFonts w:ascii="Aptos" w:hAnsi="Aptos"/>
                <w:color w:val="202A33"/>
                <w:sz w:val="17"/>
              </w:rPr>
              <w:t>Inspectable choices</w:t>
            </w:r>
          </w:p>
        </w:tc>
        <w:tc>
          <w:tcPr>
            <w:tcW w:type="dxa" w:w="7560"/>
            <w:vAlign w:val="center"/>
            <w:tcMar>
              <w:top w:w="95" w:type="dxa"/>
              <w:start w:w="110" w:type="dxa"/>
              <w:bottom w:w="95" w:type="dxa"/>
              <w:end w:w="110" w:type="dxa"/>
            </w:tcMar>
            <w:shd w:fill="EAF1F6" w:val="clear"/>
          </w:tcPr>
          <w:p>
            <w:pPr>
              <w:spacing w:after="0" w:line="240" w:lineRule="auto"/>
            </w:pPr>
            <w:r>
              <w:rPr>
                <w:rFonts w:ascii="Aptos" w:hAnsi="Aptos"/>
                <w:color w:val="202A33"/>
                <w:sz w:val="17"/>
              </w:rPr>
              <w:t>Assumptions, threshold bands, costs, and model coefficients are saved for review.</w:t>
            </w:r>
          </w:p>
        </w:tc>
      </w:tr>
    </w:tbl>
    <w:p>
      <w:pPr>
        <w:spacing w:after="40"/>
      </w:pPr>
    </w:p>
    <w:p>
      <w:pPr>
        <w:pStyle w:val="Heading2"/>
        <w:keepNext/>
        <w:spacing w:before="160" w:after="100"/>
      </w:pPr>
      <w:r>
        <w:rPr>
          <w:rFonts w:ascii="Aptos" w:hAnsi="Aptos"/>
          <w:b/>
          <w:color w:val="000000"/>
          <w:sz w:val="25"/>
        </w:rPr>
        <w:t>What the project demonstrates</w:t>
      </w:r>
    </w:p>
    <w:p>
      <w:pPr>
        <w:keepLines w:val="0"/>
        <w:spacing w:after="120" w:before="0" w:line="259" w:lineRule="auto"/>
      </w:pPr>
      <w:r>
        <w:rPr>
          <w:rFonts w:ascii="Aptos" w:hAnsi="Aptos"/>
          <w:color w:val="202A33"/>
          <w:sz w:val="20"/>
        </w:rPr>
        <w:t>The project demonstrates data simulation, SQL investigation, feature design, rule construction, basic statistical learning, threshold selection, queue capacity handling, cost modeling, temporal evaluation, monitoring, customer-group diagnostics, and communication through a report and interactive dashboard. It is a complete portfolio prototype, not a live authorization service.</w:t>
      </w:r>
    </w:p>
    <w:p>
      <w:pPr>
        <w:pStyle w:val="Heading1"/>
        <w:keepNext/>
        <w:spacing w:before="240" w:after="100"/>
      </w:pPr>
      <w:r>
        <w:rPr>
          <w:rFonts w:ascii="Aptos" w:hAnsi="Aptos"/>
          <w:b/>
          <w:color w:val="000000"/>
          <w:sz w:val="34"/>
        </w:rPr>
        <w:t>2  Quick Start and Ways to Use the Project</w:t>
      </w:r>
    </w:p>
    <w:p>
      <w:pPr>
        <w:pStyle w:val="Heading2"/>
        <w:keepNext/>
        <w:spacing w:before="160" w:after="100"/>
      </w:pPr>
      <w:r>
        <w:rPr>
          <w:rFonts w:ascii="Aptos" w:hAnsi="Aptos"/>
          <w:b/>
          <w:color w:val="000000"/>
          <w:sz w:val="25"/>
        </w:rPr>
        <w:t>Set up the environment</w:t>
      </w:r>
    </w:p>
    <w:p>
      <w:pPr>
        <w:keepLines w:val="0"/>
        <w:spacing w:after="120" w:before="0" w:line="259" w:lineRule="auto"/>
      </w:pPr>
      <w:r>
        <w:rPr>
          <w:rFonts w:ascii="Aptos" w:hAnsi="Aptos"/>
          <w:color w:val="202A33"/>
          <w:sz w:val="20"/>
        </w:rPr>
        <w:t>Run these commands in PowerShell from the repository root. Python 3.10 or newer is suitable; the project dependencies are NumPy and pandas. SQLite is included with Python, so no database server is needed.</w:t>
      </w:r>
    </w:p>
    <w:p>
      <w:pPr>
        <w:spacing w:after="0" w:line="240" w:lineRule="auto"/>
        <w:ind w:left="259"/>
        <w:shd w:fill="F4F6F8"/>
      </w:pPr>
      <w:r>
        <w:rPr>
          <w:rFonts w:ascii="Consolas" w:hAnsi="Consolas"/>
          <w:color w:val="293844"/>
          <w:sz w:val="16"/>
        </w:rPr>
        <w:t>python -m venv .venv</w:t>
      </w:r>
    </w:p>
    <w:p>
      <w:pPr>
        <w:spacing w:after="0" w:line="240" w:lineRule="auto"/>
        <w:ind w:left="259"/>
        <w:shd w:fill="F4F6F8"/>
      </w:pPr>
      <w:r>
        <w:rPr>
          <w:rFonts w:ascii="Consolas" w:hAnsi="Consolas"/>
          <w:color w:val="293844"/>
          <w:sz w:val="16"/>
        </w:rPr>
        <w:t>.\.venv\Scripts\Activate.ps1</w:t>
      </w:r>
    </w:p>
    <w:p>
      <w:pPr>
        <w:spacing w:after="0" w:line="240" w:lineRule="auto"/>
        <w:ind w:left="259"/>
        <w:shd w:fill="F4F6F8"/>
      </w:pPr>
      <w:r>
        <w:rPr>
          <w:rFonts w:ascii="Consolas" w:hAnsi="Consolas"/>
          <w:color w:val="293844"/>
          <w:sz w:val="16"/>
        </w:rPr>
        <w:t>python -m pip install -r requirements.txt</w:t>
      </w:r>
    </w:p>
    <w:p>
      <w:pPr>
        <w:pStyle w:val="Heading2"/>
        <w:keepNext/>
        <w:spacing w:before="160" w:after="100"/>
      </w:pPr>
      <w:r>
        <w:rPr>
          <w:rFonts w:ascii="Aptos" w:hAnsi="Aptos"/>
          <w:b/>
          <w:color w:val="000000"/>
          <w:sz w:val="25"/>
        </w:rPr>
        <w:t>Run the full pipeline</w:t>
      </w:r>
    </w:p>
    <w:p>
      <w:pPr>
        <w:spacing w:after="0" w:line="240" w:lineRule="auto"/>
        <w:ind w:left="259"/>
        <w:shd w:fill="F4F6F8"/>
      </w:pPr>
      <w:r>
        <w:rPr>
          <w:rFonts w:ascii="Consolas" w:hAnsi="Consolas"/>
          <w:color w:val="293844"/>
          <w:sz w:val="16"/>
        </w:rPr>
        <w:t>python -m src.run_project</w:t>
      </w:r>
    </w:p>
    <w:p>
      <w:pPr>
        <w:keepLines w:val="0"/>
        <w:spacing w:after="120" w:before="0" w:line="259" w:lineRule="auto"/>
      </w:pPr>
      <w:r>
        <w:rPr>
          <w:rFonts w:ascii="Aptos" w:hAnsi="Aptos"/>
          <w:color w:val="202A33"/>
          <w:sz w:val="20"/>
        </w:rPr>
        <w:t>The default run creates 2,000 customers, 800 merchants, 1,200 terminals, and 60 days of activity. It injects ten sampled attack campaigns for each of four typologies and evaluates 30 consecutive seeds for the primary later-date comparison. Each later-date holdout contains 350 planted fraud events. The nested campaign-identity check is reported for the default seed only. The run writes CSV outputs and trusthold.sqlite under data/synthetic/run/, refreshes the case study, and rebuilds the dashboard. Repeating a run with the same code and settings produces the same fictional scenarios.</w:t>
      </w:r>
    </w:p>
    <w:p>
      <w:pPr>
        <w:pStyle w:val="Heading2"/>
        <w:keepNext/>
        <w:spacing w:before="160" w:after="100"/>
      </w:pPr>
      <w:r>
        <w:rPr>
          <w:rFonts w:ascii="Aptos" w:hAnsi="Aptos"/>
          <w:b/>
          <w:color w:val="000000"/>
          <w:sz w:val="25"/>
        </w:rPr>
        <w:t>Run a smaller learning example</w:t>
      </w:r>
    </w:p>
    <w:p>
      <w:pPr>
        <w:spacing w:after="0" w:line="240" w:lineRule="auto"/>
        <w:ind w:left="259"/>
        <w:shd w:fill="F4F6F8"/>
      </w:pPr>
      <w:r>
        <w:rPr>
          <w:rFonts w:ascii="Consolas" w:hAnsi="Consolas"/>
          <w:color w:val="293844"/>
          <w:sz w:val="16"/>
        </w:rPr>
        <w:t>python -m src.run_project --customers 20 --days 30</w:t>
      </w:r>
    </w:p>
    <w:p>
      <w:pPr>
        <w:keepLines w:val="0"/>
        <w:spacing w:after="120" w:before="0" w:line="259" w:lineRule="auto"/>
      </w:pPr>
      <w:r>
        <w:rPr>
          <w:rFonts w:ascii="Aptos" w:hAnsi="Aptos"/>
          <w:color w:val="202A33"/>
          <w:sz w:val="20"/>
        </w:rPr>
        <w:t>The command accepts --customers, --days, --merchants, --terminals, --review-capacity, --seed, --fraud-campaigns, --stability-runs, and --output-dir. The horizon must be long enough for fraud examples to occur on both sides of the temporal split. The default start date is January 1, 2026.</w:t>
      </w:r>
    </w:p>
    <w:p>
      <w:pPr>
        <w:pStyle w:val="Heading2"/>
        <w:keepNext/>
        <w:spacing w:before="160" w:after="100"/>
      </w:pPr>
      <w:r>
        <w:rPr>
          <w:rFonts w:ascii="Aptos" w:hAnsi="Aptos"/>
          <w:b/>
          <w:color w:val="000000"/>
          <w:sz w:val="25"/>
        </w:rPr>
        <w:t>Restore the published data snapshot</w:t>
      </w:r>
    </w:p>
    <w:p>
      <w:pPr>
        <w:spacing w:after="0" w:line="240" w:lineRule="auto"/>
        <w:ind w:left="259"/>
        <w:shd w:fill="F4F6F8"/>
      </w:pPr>
      <w:r>
        <w:rPr>
          <w:rFonts w:ascii="Consolas" w:hAnsi="Consolas"/>
          <w:color w:val="293844"/>
          <w:sz w:val="16"/>
        </w:rPr>
        <w:t>python -m scripts.assemble_dataset</w:t>
      </w:r>
    </w:p>
    <w:p>
      <w:pPr>
        <w:spacing w:after="0" w:line="240" w:lineRule="auto"/>
        <w:ind w:left="259"/>
        <w:shd w:fill="F4F6F8"/>
      </w:pPr>
      <w:r>
        <w:rPr>
          <w:rFonts w:ascii="Consolas" w:hAnsi="Consolas"/>
          <w:color w:val="293844"/>
          <w:sz w:val="16"/>
        </w:rPr>
        <w:t>python sql/run_investigation.py</w:t>
      </w:r>
    </w:p>
    <w:p>
      <w:pPr>
        <w:keepLines w:val="0"/>
        <w:spacing w:after="120" w:before="0" w:line="259" w:lineRule="auto"/>
      </w:pPr>
      <w:r>
        <w:rPr>
          <w:rFonts w:ascii="Aptos" w:hAnsi="Aptos"/>
          <w:color w:val="202A33"/>
          <w:sz w:val="20"/>
        </w:rPr>
        <w:t>The first command joins versioned CSV parts, checks the original SHA-256 checksums, and writes restored tables into data/synthetic/run/. The planted labels are restored under data/synthetic/run/restricted/. The second command runs each read-only SQL investigation against the local SQLite database; if the database is absent, run the complete project first.</w:t>
      </w:r>
    </w:p>
    <w:p>
      <w:pPr>
        <w:pStyle w:val="Heading2"/>
        <w:keepNext/>
        <w:spacing w:before="160" w:after="100"/>
      </w:pPr>
      <w:r>
        <w:rPr>
          <w:rFonts w:ascii="Aptos" w:hAnsi="Aptos"/>
          <w:b/>
          <w:color w:val="000000"/>
          <w:sz w:val="25"/>
        </w:rPr>
        <w:t>Open the tools</w:t>
      </w:r>
    </w:p>
    <w:p>
      <w:pPr>
        <w:pStyle w:val="ListBullet"/>
        <w:spacing w:after="60" w:line="252" w:lineRule="auto"/>
      </w:pPr>
      <w:r>
        <w:rPr>
          <w:rFonts w:ascii="Aptos" w:hAnsi="Aptos"/>
          <w:color w:val="202A33"/>
          <w:sz w:val="20"/>
        </w:rPr>
        <w:t>Open reports/dashboard.html in a browser for the local economics and review-capacity selectors.</w:t>
      </w:r>
    </w:p>
    <w:p>
      <w:pPr>
        <w:pStyle w:val="ListBullet"/>
        <w:spacing w:after="60" w:line="252" w:lineRule="auto"/>
      </w:pPr>
      <w:r>
        <w:rPr>
          <w:rFonts w:ascii="Aptos" w:hAnsi="Aptos"/>
          <w:color w:val="202A33"/>
          <w:sz w:val="20"/>
        </w:rPr>
        <w:t>Read reports/case_study.md for the generated holdout comparison and its caveats.</w:t>
      </w:r>
    </w:p>
    <w:p>
      <w:pPr>
        <w:pStyle w:val="ListBullet"/>
        <w:spacing w:after="60" w:line="252" w:lineRule="auto"/>
      </w:pPr>
      <w:r>
        <w:rPr>
          <w:rFonts w:ascii="Aptos" w:hAnsi="Aptos"/>
          <w:color w:val="202A33"/>
          <w:sz w:val="20"/>
        </w:rPr>
        <w:t>Open notebooks/01_investigation.ipynb for guided data exploration without joining the hidden labels.</w:t>
      </w:r>
    </w:p>
    <w:p>
      <w:pPr>
        <w:pStyle w:val="Heading1"/>
        <w:keepNext/>
        <w:spacing w:before="240" w:after="100"/>
      </w:pPr>
      <w:r>
        <w:rPr>
          <w:rFonts w:ascii="Aptos" w:hAnsi="Aptos"/>
          <w:b/>
          <w:color w:val="000000"/>
          <w:sz w:val="34"/>
        </w:rPr>
        <w:t>3  System Flow and Code Map</w:t>
      </w:r>
    </w:p>
    <w:p>
      <w:pPr>
        <w:keepLines w:val="0"/>
        <w:spacing w:after="120" w:before="0" w:line="259" w:lineRule="auto"/>
      </w:pPr>
      <w:r>
        <w:rPr>
          <w:rFonts w:ascii="Aptos" w:hAnsi="Aptos"/>
          <w:color w:val="202A33"/>
          <w:sz w:val="20"/>
        </w:rPr>
        <w:t>src/run_project.py coordinates the workflow. Each stage receives an explicit table or configuration value and returns a result used by the next stage. Keeping the generator, feature code, scoring, policy, evaluation, and reporting separate makes the project easier to inspect and easier to move to another storage engine later.</w:t>
      </w:r>
    </w:p>
    <w:tbl>
      <w:tblPr>
        <w:tblW w:type="auto" w:w="0"/>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W w:w="9936" w:type="dxa"/>
      </w:tblPr>
      <w:tblGrid>
        <w:gridCol w:w="1944"/>
        <w:gridCol w:w="3456"/>
        <w:gridCol w:w="4536"/>
      </w:tblGrid>
      <w:tr>
        <w:trPr>
          <w:tblHeader w:val="true"/>
          <w:cantSplit/>
        </w:trPr>
        <w:tc>
          <w:tcPr>
            <w:tcW w:type="dxa" w:w="1944"/>
            <w:vAlign w:val="center"/>
            <w:shd w:fill="18364D" w:val="clear"/>
            <w:tcMar>
              <w:top w:w="95" w:type="dxa"/>
              <w:start w:w="110" w:type="dxa"/>
              <w:bottom w:w="95" w:type="dxa"/>
              <w:end w:w="110" w:type="dxa"/>
            </w:tcMar>
          </w:tcPr>
          <w:p>
            <w:pPr>
              <w:spacing w:after="0" w:line="240" w:lineRule="auto"/>
            </w:pPr>
            <w:r>
              <w:rPr>
                <w:rFonts w:ascii="Aptos" w:hAnsi="Aptos"/>
                <w:b/>
                <w:color w:val="FFFFFF"/>
                <w:sz w:val="16"/>
              </w:rPr>
              <w:t>Stage</w:t>
            </w:r>
          </w:p>
        </w:tc>
        <w:tc>
          <w:tcPr>
            <w:tcW w:type="dxa" w:w="3456"/>
            <w:vAlign w:val="center"/>
            <w:shd w:fill="18364D" w:val="clear"/>
            <w:tcMar>
              <w:top w:w="95" w:type="dxa"/>
              <w:start w:w="110" w:type="dxa"/>
              <w:bottom w:w="95" w:type="dxa"/>
              <w:end w:w="110" w:type="dxa"/>
            </w:tcMar>
          </w:tcPr>
          <w:p>
            <w:pPr>
              <w:spacing w:after="0" w:line="240" w:lineRule="auto"/>
            </w:pPr>
            <w:r>
              <w:rPr>
                <w:rFonts w:ascii="Aptos" w:hAnsi="Aptos"/>
                <w:b/>
                <w:color w:val="FFFFFF"/>
                <w:sz w:val="16"/>
              </w:rPr>
              <w:t>Main code</w:t>
            </w:r>
          </w:p>
        </w:tc>
        <w:tc>
          <w:tcPr>
            <w:tcW w:type="dxa" w:w="4536"/>
            <w:vAlign w:val="center"/>
            <w:shd w:fill="18364D" w:val="clear"/>
            <w:tcMar>
              <w:top w:w="95" w:type="dxa"/>
              <w:start w:w="110" w:type="dxa"/>
              <w:bottom w:w="95" w:type="dxa"/>
              <w:end w:w="110" w:type="dxa"/>
            </w:tcMar>
          </w:tcPr>
          <w:p>
            <w:pPr>
              <w:spacing w:after="0" w:line="240" w:lineRule="auto"/>
            </w:pPr>
            <w:r>
              <w:rPr>
                <w:rFonts w:ascii="Aptos" w:hAnsi="Aptos"/>
                <w:b/>
                <w:color w:val="FFFFFF"/>
                <w:sz w:val="16"/>
              </w:rPr>
              <w:t>Input and output</w:t>
            </w:r>
          </w:p>
        </w:tc>
      </w:tr>
      <w:tr>
        <w:trPr>
          <w:cantSplit/>
        </w:trPr>
        <w:tc>
          <w:tcPr>
            <w:tcW w:type="dxa" w:w="1944"/>
            <w:vAlign w:val="center"/>
            <w:tcMar>
              <w:top w:w="95" w:type="dxa"/>
              <w:start w:w="110" w:type="dxa"/>
              <w:bottom w:w="95" w:type="dxa"/>
              <w:end w:w="110" w:type="dxa"/>
            </w:tcMar>
          </w:tcPr>
          <w:p>
            <w:pPr>
              <w:spacing w:after="0" w:line="240" w:lineRule="auto"/>
            </w:pPr>
            <w:r>
              <w:rPr>
                <w:rFonts w:ascii="Aptos" w:hAnsi="Aptos"/>
                <w:color w:val="202A33"/>
                <w:sz w:val="16"/>
              </w:rPr>
              <w:t>Settings</w:t>
            </w:r>
          </w:p>
        </w:tc>
        <w:tc>
          <w:tcPr>
            <w:tcW w:type="dxa" w:w="3456"/>
            <w:vAlign w:val="center"/>
            <w:tcMar>
              <w:top w:w="95" w:type="dxa"/>
              <w:start w:w="110" w:type="dxa"/>
              <w:bottom w:w="95" w:type="dxa"/>
              <w:end w:w="110" w:type="dxa"/>
            </w:tcMar>
          </w:tcPr>
          <w:p>
            <w:pPr>
              <w:spacing w:after="0" w:line="240" w:lineRule="auto"/>
            </w:pPr>
            <w:r>
              <w:rPr>
                <w:rFonts w:ascii="Aptos" w:hAnsi="Aptos"/>
                <w:color w:val="202A33"/>
                <w:sz w:val="16"/>
              </w:rPr>
              <w:t>src/config.py</w:t>
            </w:r>
          </w:p>
        </w:tc>
        <w:tc>
          <w:tcPr>
            <w:tcW w:type="dxa" w:w="4536"/>
            <w:vAlign w:val="center"/>
            <w:tcMar>
              <w:top w:w="95" w:type="dxa"/>
              <w:start w:w="110" w:type="dxa"/>
              <w:bottom w:w="95" w:type="dxa"/>
              <w:end w:w="110" w:type="dxa"/>
            </w:tcMar>
          </w:tcPr>
          <w:p>
            <w:pPr>
              <w:spacing w:after="0" w:line="240" w:lineRule="auto"/>
            </w:pPr>
            <w:r>
              <w:rPr>
                <w:rFonts w:ascii="Aptos" w:hAnsi="Aptos"/>
                <w:color w:val="202A33"/>
                <w:sz w:val="16"/>
              </w:rPr>
              <w:t>Seed, population size, dates, and fictional economics.</w:t>
            </w:r>
          </w:p>
        </w:tc>
      </w:tr>
      <w:tr>
        <w:trPr>
          <w:cantSplit/>
        </w:trPr>
        <w:tc>
          <w:tcPr>
            <w:tcW w:type="dxa" w:w="1944"/>
            <w:vAlign w:val="center"/>
            <w:tcMar>
              <w:top w:w="95" w:type="dxa"/>
              <w:start w:w="110" w:type="dxa"/>
              <w:bottom w:w="95" w:type="dxa"/>
              <w:end w:w="110" w:type="dxa"/>
            </w:tcMar>
            <w:shd w:fill="EAF1F6" w:val="clear"/>
          </w:tcPr>
          <w:p>
            <w:pPr>
              <w:spacing w:after="0" w:line="240" w:lineRule="auto"/>
            </w:pPr>
            <w:r>
              <w:rPr>
                <w:rFonts w:ascii="Aptos" w:hAnsi="Aptos"/>
                <w:color w:val="202A33"/>
                <w:sz w:val="16"/>
              </w:rPr>
              <w:t>World generation</w:t>
            </w:r>
          </w:p>
        </w:tc>
        <w:tc>
          <w:tcPr>
            <w:tcW w:type="dxa" w:w="3456"/>
            <w:vAlign w:val="center"/>
            <w:tcMar>
              <w:top w:w="95" w:type="dxa"/>
              <w:start w:w="110" w:type="dxa"/>
              <w:bottom w:w="95" w:type="dxa"/>
              <w:end w:w="110" w:type="dxa"/>
            </w:tcMar>
            <w:shd w:fill="EAF1F6" w:val="clear"/>
          </w:tcPr>
          <w:p>
            <w:pPr>
              <w:spacing w:after="0" w:line="240" w:lineRule="auto"/>
            </w:pPr>
            <w:r>
              <w:rPr>
                <w:rFonts w:ascii="Aptos" w:hAnsi="Aptos"/>
                <w:color w:val="202A33"/>
                <w:sz w:val="16"/>
              </w:rPr>
              <w:t>src/simulation/</w:t>
            </w:r>
          </w:p>
        </w:tc>
        <w:tc>
          <w:tcPr>
            <w:tcW w:type="dxa" w:w="4536"/>
            <w:vAlign w:val="center"/>
            <w:tcMar>
              <w:top w:w="95" w:type="dxa"/>
              <w:start w:w="110" w:type="dxa"/>
              <w:bottom w:w="95" w:type="dxa"/>
              <w:end w:w="110" w:type="dxa"/>
            </w:tcMar>
            <w:shd w:fill="EAF1F6" w:val="clear"/>
          </w:tcPr>
          <w:p>
            <w:pPr>
              <w:spacing w:after="0" w:line="240" w:lineRule="auto"/>
            </w:pPr>
            <w:r>
              <w:rPr>
                <w:rFonts w:ascii="Aptos" w:hAnsi="Aptos"/>
                <w:color w:val="202A33"/>
                <w:sz w:val="16"/>
              </w:rPr>
              <w:t>Customers and linked accounts, merchants, terminals, and baseline transactions.</w:t>
            </w:r>
          </w:p>
        </w:tc>
      </w:tr>
      <w:tr>
        <w:trPr>
          <w:cantSplit/>
        </w:trPr>
        <w:tc>
          <w:tcPr>
            <w:tcW w:type="dxa" w:w="1944"/>
            <w:vAlign w:val="center"/>
            <w:tcMar>
              <w:top w:w="95" w:type="dxa"/>
              <w:start w:w="110" w:type="dxa"/>
              <w:bottom w:w="95" w:type="dxa"/>
              <w:end w:w="110" w:type="dxa"/>
            </w:tcMar>
          </w:tcPr>
          <w:p>
            <w:pPr>
              <w:spacing w:after="0" w:line="240" w:lineRule="auto"/>
            </w:pPr>
            <w:r>
              <w:rPr>
                <w:rFonts w:ascii="Aptos" w:hAnsi="Aptos"/>
                <w:color w:val="202A33"/>
                <w:sz w:val="16"/>
              </w:rPr>
              <w:t>Fraud injection</w:t>
            </w:r>
          </w:p>
        </w:tc>
        <w:tc>
          <w:tcPr>
            <w:tcW w:type="dxa" w:w="3456"/>
            <w:vAlign w:val="center"/>
            <w:tcMar>
              <w:top w:w="95" w:type="dxa"/>
              <w:start w:w="110" w:type="dxa"/>
              <w:bottom w:w="95" w:type="dxa"/>
              <w:end w:w="110" w:type="dxa"/>
            </w:tcMar>
          </w:tcPr>
          <w:p>
            <w:pPr>
              <w:spacing w:after="0" w:line="240" w:lineRule="auto"/>
            </w:pPr>
            <w:r>
              <w:rPr>
                <w:rFonts w:ascii="Aptos" w:hAnsi="Aptos"/>
                <w:color w:val="202A33"/>
                <w:sz w:val="16"/>
              </w:rPr>
              <w:t>inject_fraud.py</w:t>
            </w:r>
          </w:p>
        </w:tc>
        <w:tc>
          <w:tcPr>
            <w:tcW w:type="dxa" w:w="4536"/>
            <w:vAlign w:val="center"/>
            <w:tcMar>
              <w:top w:w="95" w:type="dxa"/>
              <w:start w:w="110" w:type="dxa"/>
              <w:bottom w:w="95" w:type="dxa"/>
              <w:end w:w="110" w:type="dxa"/>
            </w:tcMar>
          </w:tcPr>
          <w:p>
            <w:pPr>
              <w:spacing w:after="0" w:line="240" w:lineRule="auto"/>
            </w:pPr>
            <w:r>
              <w:rPr>
                <w:rFonts w:ascii="Aptos" w:hAnsi="Aptos"/>
                <w:color w:val="202A33"/>
                <w:sz w:val="16"/>
              </w:rPr>
              <w:t>Transactions plus a separate ground-truth table.</w:t>
            </w:r>
          </w:p>
        </w:tc>
      </w:tr>
      <w:tr>
        <w:trPr>
          <w:cantSplit/>
        </w:trPr>
        <w:tc>
          <w:tcPr>
            <w:tcW w:type="dxa" w:w="1944"/>
            <w:vAlign w:val="center"/>
            <w:tcMar>
              <w:top w:w="95" w:type="dxa"/>
              <w:start w:w="110" w:type="dxa"/>
              <w:bottom w:w="95" w:type="dxa"/>
              <w:end w:w="110" w:type="dxa"/>
            </w:tcMar>
            <w:shd w:fill="EAF1F6" w:val="clear"/>
          </w:tcPr>
          <w:p>
            <w:pPr>
              <w:spacing w:after="0" w:line="240" w:lineRule="auto"/>
            </w:pPr>
            <w:r>
              <w:rPr>
                <w:rFonts w:ascii="Aptos" w:hAnsi="Aptos"/>
                <w:color w:val="202A33"/>
                <w:sz w:val="16"/>
              </w:rPr>
              <w:t>Features</w:t>
            </w:r>
          </w:p>
        </w:tc>
        <w:tc>
          <w:tcPr>
            <w:tcW w:type="dxa" w:w="3456"/>
            <w:vAlign w:val="center"/>
            <w:tcMar>
              <w:top w:w="95" w:type="dxa"/>
              <w:start w:w="110" w:type="dxa"/>
              <w:bottom w:w="95" w:type="dxa"/>
              <w:end w:w="110" w:type="dxa"/>
            </w:tcMar>
            <w:shd w:fill="EAF1F6" w:val="clear"/>
          </w:tcPr>
          <w:p>
            <w:pPr>
              <w:spacing w:after="0" w:line="240" w:lineRule="auto"/>
            </w:pPr>
            <w:r>
              <w:rPr>
                <w:rFonts w:ascii="Aptos" w:hAnsi="Aptos"/>
                <w:color w:val="202A33"/>
                <w:sz w:val="16"/>
              </w:rPr>
              <w:t>src/features/build_features.py</w:t>
            </w:r>
          </w:p>
        </w:tc>
        <w:tc>
          <w:tcPr>
            <w:tcW w:type="dxa" w:w="4536"/>
            <w:vAlign w:val="center"/>
            <w:tcMar>
              <w:top w:w="95" w:type="dxa"/>
              <w:start w:w="110" w:type="dxa"/>
              <w:bottom w:w="95" w:type="dxa"/>
              <w:end w:w="110" w:type="dxa"/>
            </w:tcMar>
            <w:shd w:fill="EAF1F6" w:val="clear"/>
          </w:tcPr>
          <w:p>
            <w:pPr>
              <w:spacing w:after="0" w:line="240" w:lineRule="auto"/>
            </w:pPr>
            <w:r>
              <w:rPr>
                <w:rFonts w:ascii="Aptos" w:hAnsi="Aptos"/>
                <w:color w:val="202A33"/>
                <w:sz w:val="16"/>
              </w:rPr>
              <w:t>Timestamped transactions become point-in-time numeric signals.</w:t>
            </w:r>
          </w:p>
        </w:tc>
      </w:tr>
      <w:tr>
        <w:trPr>
          <w:cantSplit/>
        </w:trPr>
        <w:tc>
          <w:tcPr>
            <w:tcW w:type="dxa" w:w="1944"/>
            <w:vAlign w:val="center"/>
            <w:tcMar>
              <w:top w:w="95" w:type="dxa"/>
              <w:start w:w="110" w:type="dxa"/>
              <w:bottom w:w="95" w:type="dxa"/>
              <w:end w:w="110" w:type="dxa"/>
            </w:tcMar>
          </w:tcPr>
          <w:p>
            <w:pPr>
              <w:spacing w:after="0" w:line="240" w:lineRule="auto"/>
            </w:pPr>
            <w:r>
              <w:rPr>
                <w:rFonts w:ascii="Aptos" w:hAnsi="Aptos"/>
                <w:color w:val="202A33"/>
                <w:sz w:val="16"/>
              </w:rPr>
              <w:t>Scoring</w:t>
            </w:r>
          </w:p>
        </w:tc>
        <w:tc>
          <w:tcPr>
            <w:tcW w:type="dxa" w:w="3456"/>
            <w:vAlign w:val="center"/>
            <w:tcMar>
              <w:top w:w="95" w:type="dxa"/>
              <w:start w:w="110" w:type="dxa"/>
              <w:bottom w:w="95" w:type="dxa"/>
              <w:end w:w="110" w:type="dxa"/>
            </w:tcMar>
          </w:tcPr>
          <w:p>
            <w:pPr>
              <w:spacing w:after="0" w:line="240" w:lineRule="auto"/>
            </w:pPr>
            <w:r>
              <w:rPr>
                <w:rFonts w:ascii="Aptos" w:hAnsi="Aptos"/>
                <w:color w:val="202A33"/>
                <w:sz w:val="16"/>
              </w:rPr>
              <w:t>src/rules/ and src/models/</w:t>
            </w:r>
          </w:p>
        </w:tc>
        <w:tc>
          <w:tcPr>
            <w:tcW w:type="dxa" w:w="4536"/>
            <w:vAlign w:val="center"/>
            <w:tcMar>
              <w:top w:w="95" w:type="dxa"/>
              <w:start w:w="110" w:type="dxa"/>
              <w:bottom w:w="95" w:type="dxa"/>
              <w:end w:w="110" w:type="dxa"/>
            </w:tcMar>
          </w:tcPr>
          <w:p>
            <w:pPr>
              <w:spacing w:after="0" w:line="240" w:lineRule="auto"/>
            </w:pPr>
            <w:r>
              <w:rPr>
                <w:rFonts w:ascii="Aptos" w:hAnsi="Aptos"/>
                <w:color w:val="202A33"/>
                <w:sz w:val="16"/>
              </w:rPr>
              <w:t>Readable rule score, logistic score, and hybrid score.</w:t>
            </w:r>
          </w:p>
        </w:tc>
      </w:tr>
      <w:tr>
        <w:trPr>
          <w:cantSplit/>
        </w:trPr>
        <w:tc>
          <w:tcPr>
            <w:tcW w:type="dxa" w:w="1944"/>
            <w:vAlign w:val="center"/>
            <w:tcMar>
              <w:top w:w="95" w:type="dxa"/>
              <w:start w:w="110" w:type="dxa"/>
              <w:bottom w:w="95" w:type="dxa"/>
              <w:end w:w="110" w:type="dxa"/>
            </w:tcMar>
            <w:shd w:fill="EAF1F6" w:val="clear"/>
          </w:tcPr>
          <w:p>
            <w:pPr>
              <w:spacing w:after="0" w:line="240" w:lineRule="auto"/>
            </w:pPr>
            <w:r>
              <w:rPr>
                <w:rFonts w:ascii="Aptos" w:hAnsi="Aptos"/>
                <w:color w:val="202A33"/>
                <w:sz w:val="16"/>
              </w:rPr>
              <w:t>Operating policy</w:t>
            </w:r>
          </w:p>
        </w:tc>
        <w:tc>
          <w:tcPr>
            <w:tcW w:type="dxa" w:w="3456"/>
            <w:vAlign w:val="center"/>
            <w:tcMar>
              <w:top w:w="95" w:type="dxa"/>
              <w:start w:w="110" w:type="dxa"/>
              <w:bottom w:w="95" w:type="dxa"/>
              <w:end w:w="110" w:type="dxa"/>
            </w:tcMar>
            <w:shd w:fill="EAF1F6" w:val="clear"/>
          </w:tcPr>
          <w:p>
            <w:pPr>
              <w:spacing w:after="0" w:line="240" w:lineRule="auto"/>
            </w:pPr>
            <w:r>
              <w:rPr>
                <w:rFonts w:ascii="Aptos" w:hAnsi="Aptos"/>
                <w:color w:val="202A33"/>
                <w:sz w:val="16"/>
              </w:rPr>
              <w:t>src/decisions/policies.py</w:t>
            </w:r>
          </w:p>
        </w:tc>
        <w:tc>
          <w:tcPr>
            <w:tcW w:type="dxa" w:w="4536"/>
            <w:vAlign w:val="center"/>
            <w:tcMar>
              <w:top w:w="95" w:type="dxa"/>
              <w:start w:w="110" w:type="dxa"/>
              <w:bottom w:w="95" w:type="dxa"/>
              <w:end w:w="110" w:type="dxa"/>
            </w:tcMar>
            <w:shd w:fill="EAF1F6" w:val="clear"/>
          </w:tcPr>
          <w:p>
            <w:pPr>
              <w:spacing w:after="0" w:line="240" w:lineRule="auto"/>
            </w:pPr>
            <w:r>
              <w:rPr>
                <w:rFonts w:ascii="Aptos" w:hAnsi="Aptos"/>
                <w:color w:val="202A33"/>
                <w:sz w:val="16"/>
              </w:rPr>
              <w:t>Scores become actions with daily review limits.</w:t>
            </w:r>
          </w:p>
        </w:tc>
      </w:tr>
      <w:tr>
        <w:trPr>
          <w:cantSplit/>
        </w:trPr>
        <w:tc>
          <w:tcPr>
            <w:tcW w:type="dxa" w:w="1944"/>
            <w:vAlign w:val="center"/>
            <w:tcMar>
              <w:top w:w="95" w:type="dxa"/>
              <w:start w:w="110" w:type="dxa"/>
              <w:bottom w:w="95" w:type="dxa"/>
              <w:end w:w="110" w:type="dxa"/>
            </w:tcMar>
          </w:tcPr>
          <w:p>
            <w:pPr>
              <w:spacing w:after="0" w:line="240" w:lineRule="auto"/>
            </w:pPr>
            <w:r>
              <w:rPr>
                <w:rFonts w:ascii="Aptos" w:hAnsi="Aptos"/>
                <w:color w:val="202A33"/>
                <w:sz w:val="16"/>
              </w:rPr>
              <w:t>Evaluation</w:t>
            </w:r>
          </w:p>
        </w:tc>
        <w:tc>
          <w:tcPr>
            <w:tcW w:type="dxa" w:w="3456"/>
            <w:vAlign w:val="center"/>
            <w:tcMar>
              <w:top w:w="95" w:type="dxa"/>
              <w:start w:w="110" w:type="dxa"/>
              <w:bottom w:w="95" w:type="dxa"/>
              <w:end w:w="110" w:type="dxa"/>
            </w:tcMar>
          </w:tcPr>
          <w:p>
            <w:pPr>
              <w:spacing w:after="0" w:line="240" w:lineRule="auto"/>
            </w:pPr>
            <w:r>
              <w:rPr>
                <w:rFonts w:ascii="Aptos" w:hAnsi="Aptos"/>
                <w:color w:val="202A33"/>
                <w:sz w:val="16"/>
              </w:rPr>
              <w:t>src/evaluation/metrics.py and run_project.py</w:t>
            </w:r>
          </w:p>
        </w:tc>
        <w:tc>
          <w:tcPr>
            <w:tcW w:type="dxa" w:w="4536"/>
            <w:vAlign w:val="center"/>
            <w:tcMar>
              <w:top w:w="95" w:type="dxa"/>
              <w:start w:w="110" w:type="dxa"/>
              <w:bottom w:w="95" w:type="dxa"/>
              <w:end w:w="110" w:type="dxa"/>
            </w:tcMar>
          </w:tcPr>
          <w:p>
            <w:pPr>
              <w:spacing w:after="0" w:line="240" w:lineRule="auto"/>
            </w:pPr>
            <w:r>
              <w:rPr>
                <w:rFonts w:ascii="Aptos" w:hAnsi="Aptos"/>
                <w:color w:val="202A33"/>
                <w:sz w:val="16"/>
              </w:rPr>
              <w:t>Holdout metrics, costs, sensitivities, and group summaries.</w:t>
            </w:r>
          </w:p>
        </w:tc>
      </w:tr>
      <w:tr>
        <w:trPr>
          <w:cantSplit/>
        </w:trPr>
        <w:tc>
          <w:tcPr>
            <w:tcW w:type="dxa" w:w="1944"/>
            <w:vAlign w:val="center"/>
            <w:tcMar>
              <w:top w:w="95" w:type="dxa"/>
              <w:start w:w="110" w:type="dxa"/>
              <w:bottom w:w="95" w:type="dxa"/>
              <w:end w:w="110" w:type="dxa"/>
            </w:tcMar>
            <w:shd w:fill="EAF1F6" w:val="clear"/>
          </w:tcPr>
          <w:p>
            <w:pPr>
              <w:spacing w:after="0" w:line="240" w:lineRule="auto"/>
            </w:pPr>
            <w:r>
              <w:rPr>
                <w:rFonts w:ascii="Aptos" w:hAnsi="Aptos"/>
                <w:color w:val="202A33"/>
                <w:sz w:val="16"/>
              </w:rPr>
              <w:t>Persistence and outputs</w:t>
            </w:r>
          </w:p>
        </w:tc>
        <w:tc>
          <w:tcPr>
            <w:tcW w:type="dxa" w:w="3456"/>
            <w:vAlign w:val="center"/>
            <w:tcMar>
              <w:top w:w="95" w:type="dxa"/>
              <w:start w:w="110" w:type="dxa"/>
              <w:bottom w:w="95" w:type="dxa"/>
              <w:end w:w="110" w:type="dxa"/>
            </w:tcMar>
            <w:shd w:fill="EAF1F6" w:val="clear"/>
          </w:tcPr>
          <w:p>
            <w:pPr>
              <w:spacing w:after="0" w:line="240" w:lineRule="auto"/>
            </w:pPr>
            <w:r>
              <w:rPr>
                <w:rFonts w:ascii="Aptos" w:hAnsi="Aptos"/>
                <w:color w:val="202A33"/>
                <w:sz w:val="16"/>
              </w:rPr>
              <w:t>src/storage.py, src/reporting.py</w:t>
            </w:r>
          </w:p>
        </w:tc>
        <w:tc>
          <w:tcPr>
            <w:tcW w:type="dxa" w:w="4536"/>
            <w:vAlign w:val="center"/>
            <w:tcMar>
              <w:top w:w="95" w:type="dxa"/>
              <w:start w:w="110" w:type="dxa"/>
              <w:bottom w:w="95" w:type="dxa"/>
              <w:end w:w="110" w:type="dxa"/>
            </w:tcMar>
            <w:shd w:fill="EAF1F6" w:val="clear"/>
          </w:tcPr>
          <w:p>
            <w:pPr>
              <w:spacing w:after="0" w:line="240" w:lineRule="auto"/>
            </w:pPr>
            <w:r>
              <w:rPr>
                <w:rFonts w:ascii="Aptos" w:hAnsi="Aptos"/>
                <w:color w:val="202A33"/>
                <w:sz w:val="16"/>
              </w:rPr>
              <w:t>CSV, SQLite, case study, and HTML dashboard.</w:t>
            </w:r>
          </w:p>
        </w:tc>
      </w:tr>
      <w:tr>
        <w:trPr>
          <w:cantSplit/>
        </w:trPr>
        <w:tc>
          <w:tcPr>
            <w:tcW w:type="dxa" w:w="1944"/>
            <w:vAlign w:val="center"/>
            <w:tcMar>
              <w:top w:w="95" w:type="dxa"/>
              <w:start w:w="110" w:type="dxa"/>
              <w:bottom w:w="95" w:type="dxa"/>
              <w:end w:w="110" w:type="dxa"/>
            </w:tcMar>
          </w:tcPr>
          <w:p>
            <w:pPr>
              <w:spacing w:after="0" w:line="240" w:lineRule="auto"/>
            </w:pPr>
            <w:r>
              <w:rPr>
                <w:rFonts w:ascii="Aptos" w:hAnsi="Aptos"/>
                <w:color w:val="202A33"/>
                <w:sz w:val="16"/>
              </w:rPr>
              <w:t>Investigation and operations</w:t>
            </w:r>
          </w:p>
        </w:tc>
        <w:tc>
          <w:tcPr>
            <w:tcW w:type="dxa" w:w="3456"/>
            <w:vAlign w:val="center"/>
            <w:tcMar>
              <w:top w:w="95" w:type="dxa"/>
              <w:start w:w="110" w:type="dxa"/>
              <w:bottom w:w="95" w:type="dxa"/>
              <w:end w:w="110" w:type="dxa"/>
            </w:tcMar>
          </w:tcPr>
          <w:p>
            <w:pPr>
              <w:spacing w:after="0" w:line="240" w:lineRule="auto"/>
            </w:pPr>
            <w:r>
              <w:rPr>
                <w:rFonts w:ascii="Aptos" w:hAnsi="Aptos"/>
                <w:color w:val="202A33"/>
                <w:sz w:val="16"/>
              </w:rPr>
              <w:t>sql/, src/monitoring.py, src/network_intelligence.py</w:t>
            </w:r>
          </w:p>
        </w:tc>
        <w:tc>
          <w:tcPr>
            <w:tcW w:type="dxa" w:w="4536"/>
            <w:vAlign w:val="center"/>
            <w:tcMar>
              <w:top w:w="95" w:type="dxa"/>
              <w:start w:w="110" w:type="dxa"/>
              <w:bottom w:w="95" w:type="dxa"/>
              <w:end w:w="110" w:type="dxa"/>
            </w:tcMar>
          </w:tcPr>
          <w:p>
            <w:pPr>
              <w:spacing w:after="0" w:line="240" w:lineRule="auto"/>
            </w:pPr>
            <w:r>
              <w:rPr>
                <w:rFonts w:ascii="Aptos" w:hAnsi="Aptos"/>
                <w:color w:val="202A33"/>
                <w:sz w:val="16"/>
              </w:rPr>
              <w:t>Read-only SQL summaries, daily alerts, and terminal connectivity.</w:t>
            </w:r>
          </w:p>
        </w:tc>
      </w:tr>
    </w:tbl>
    <w:p>
      <w:pPr>
        <w:spacing w:after="40"/>
      </w:pPr>
    </w:p>
    <w:p>
      <w:pPr>
        <w:keepLines w:val="0"/>
        <w:spacing w:after="120" w:before="0" w:line="259" w:lineRule="auto"/>
      </w:pPr>
      <w:r>
        <w:rPr>
          <w:rFonts w:ascii="Aptos" w:hAnsi="Aptos"/>
          <w:color w:val="202A33"/>
          <w:sz w:val="20"/>
        </w:rPr>
        <w:t>The data flow is: generate entities → create ordinary transactions → inject labeled events → build past-only features → create temporary evaluation labels → split by date → fit scores on fit rows → choose thresholds on a separate campaign-stratified validation sample → evaluate future-period actions → save label-free tables and reports. The label join occurs only after feature construction, which is central to the leakage control.</w:t>
      </w:r>
    </w:p>
    <w:p>
      <w:pPr>
        <w:pStyle w:val="Heading1"/>
        <w:keepNext/>
        <w:spacing w:before="240" w:after="100"/>
      </w:pPr>
      <w:r>
        <w:rPr>
          <w:rFonts w:ascii="Aptos" w:hAnsi="Aptos"/>
          <w:b/>
          <w:color w:val="000000"/>
          <w:sz w:val="34"/>
        </w:rPr>
        <w:t>4  How the Synthetic World Is Generated</w:t>
      </w:r>
    </w:p>
    <w:p>
      <w:pPr>
        <w:pStyle w:val="Heading2"/>
        <w:keepNext/>
        <w:spacing w:before="160" w:after="100"/>
      </w:pPr>
      <w:r>
        <w:rPr>
          <w:rFonts w:ascii="Aptos" w:hAnsi="Aptos"/>
          <w:b/>
          <w:color w:val="000000"/>
          <w:sz w:val="25"/>
        </w:rPr>
        <w:t>Customer profiles</w:t>
      </w:r>
    </w:p>
    <w:p>
      <w:pPr>
        <w:keepLines w:val="0"/>
        <w:spacing w:after="120" w:before="0" w:line="259" w:lineRule="auto"/>
      </w:pPr>
      <w:r>
        <w:rPr>
          <w:rFonts w:ascii="Aptos" w:hAnsi="Aptos"/>
          <w:color w:val="202A33"/>
          <w:sz w:val="20"/>
        </w:rPr>
        <w:t>The customer generator samples one of three fictional segments: Standard, Premium, and Business, using probabilities 70%, 20%, and 10%. Segment-specific reference medians define typical spend and daily transaction rates. Log-normal draws create positive, right-skewed profiles. The configured dollar and activity values are medians, not industry estimates. Region and KYC band are sampled separately; KYC band is not a fraud proxy and is excluded from the model inputs.</w:t>
      </w:r>
    </w:p>
    <w:tbl>
      <w:tblPr>
        <w:tblW w:type="auto" w:w="0"/>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W w:w="9936" w:type="dxa"/>
      </w:tblPr>
      <w:tblGrid>
        <w:gridCol w:w="3312"/>
        <w:gridCol w:w="3312"/>
        <w:gridCol w:w="3312"/>
      </w:tblGrid>
      <w:tr>
        <w:trPr>
          <w:tblHeader w:val="true"/>
          <w:cantSplit/>
        </w:trPr>
        <w:tc>
          <w:tcPr>
            <w:tcW w:type="dxa" w:w="3312"/>
            <w:vAlign w:val="center"/>
            <w:shd w:fill="18364D" w:val="clear"/>
            <w:tcMar>
              <w:top w:w="95" w:type="dxa"/>
              <w:start w:w="110" w:type="dxa"/>
              <w:bottom w:w="95" w:type="dxa"/>
              <w:end w:w="110" w:type="dxa"/>
            </w:tcMar>
          </w:tcPr>
          <w:p>
            <w:pPr>
              <w:spacing w:after="0" w:line="240" w:lineRule="auto"/>
            </w:pPr>
            <w:r>
              <w:rPr>
                <w:rFonts w:ascii="Aptos" w:hAnsi="Aptos"/>
                <w:b/>
                <w:color w:val="FFFFFF"/>
                <w:sz w:val="18"/>
              </w:rPr>
              <w:t>Segment</w:t>
            </w:r>
          </w:p>
        </w:tc>
        <w:tc>
          <w:tcPr>
            <w:tcW w:type="dxa" w:w="3312"/>
            <w:vAlign w:val="center"/>
            <w:shd w:fill="18364D" w:val="clear"/>
            <w:tcMar>
              <w:top w:w="95" w:type="dxa"/>
              <w:start w:w="110" w:type="dxa"/>
              <w:bottom w:w="95" w:type="dxa"/>
              <w:end w:w="110" w:type="dxa"/>
            </w:tcMar>
          </w:tcPr>
          <w:p>
            <w:pPr>
              <w:spacing w:after="0" w:line="240" w:lineRule="auto"/>
            </w:pPr>
            <w:r>
              <w:rPr>
                <w:rFonts w:ascii="Aptos" w:hAnsi="Aptos"/>
                <w:b/>
                <w:color w:val="FFFFFF"/>
                <w:sz w:val="18"/>
              </w:rPr>
              <w:t>Median spend</w:t>
            </w:r>
          </w:p>
        </w:tc>
        <w:tc>
          <w:tcPr>
            <w:tcW w:type="dxa" w:w="3312"/>
            <w:vAlign w:val="center"/>
            <w:shd w:fill="18364D" w:val="clear"/>
            <w:tcMar>
              <w:top w:w="95" w:type="dxa"/>
              <w:start w:w="110" w:type="dxa"/>
              <w:bottom w:w="95" w:type="dxa"/>
              <w:end w:w="110" w:type="dxa"/>
            </w:tcMar>
          </w:tcPr>
          <w:p>
            <w:pPr>
              <w:spacing w:after="0" w:line="240" w:lineRule="auto"/>
            </w:pPr>
            <w:r>
              <w:rPr>
                <w:rFonts w:ascii="Aptos" w:hAnsi="Aptos"/>
                <w:b/>
                <w:color w:val="FFFFFF"/>
                <w:sz w:val="18"/>
              </w:rPr>
              <w:t>Median transactions per day</w:t>
            </w:r>
          </w:p>
        </w:tc>
      </w:tr>
      <w:tr>
        <w:trPr>
          <w:cantSplit/>
        </w:trPr>
        <w:tc>
          <w:tcPr>
            <w:tcW w:type="dxa" w:w="3312"/>
            <w:vAlign w:val="center"/>
            <w:tcMar>
              <w:top w:w="95" w:type="dxa"/>
              <w:start w:w="110" w:type="dxa"/>
              <w:bottom w:w="95" w:type="dxa"/>
              <w:end w:w="110" w:type="dxa"/>
            </w:tcMar>
          </w:tcPr>
          <w:p>
            <w:pPr>
              <w:spacing w:after="0" w:line="240" w:lineRule="auto"/>
            </w:pPr>
            <w:r>
              <w:rPr>
                <w:rFonts w:ascii="Aptos" w:hAnsi="Aptos"/>
                <w:color w:val="202A33"/>
                <w:sz w:val="18"/>
              </w:rPr>
              <w:t>Standard</w:t>
            </w:r>
          </w:p>
        </w:tc>
        <w:tc>
          <w:tcPr>
            <w:tcW w:type="dxa" w:w="3312"/>
            <w:vAlign w:val="center"/>
            <w:tcMar>
              <w:top w:w="95" w:type="dxa"/>
              <w:start w:w="110" w:type="dxa"/>
              <w:bottom w:w="95" w:type="dxa"/>
              <w:end w:w="110" w:type="dxa"/>
            </w:tcMar>
          </w:tcPr>
          <w:p>
            <w:pPr>
              <w:spacing w:after="0" w:line="240" w:lineRule="auto"/>
            </w:pPr>
            <w:r>
              <w:rPr>
                <w:rFonts w:ascii="Aptos" w:hAnsi="Aptos"/>
                <w:color w:val="202A33"/>
                <w:sz w:val="18"/>
              </w:rPr>
              <w:t>$45</w:t>
            </w:r>
          </w:p>
        </w:tc>
        <w:tc>
          <w:tcPr>
            <w:tcW w:type="dxa" w:w="3312"/>
            <w:vAlign w:val="center"/>
            <w:tcMar>
              <w:top w:w="95" w:type="dxa"/>
              <w:start w:w="110" w:type="dxa"/>
              <w:bottom w:w="95" w:type="dxa"/>
              <w:end w:w="110" w:type="dxa"/>
            </w:tcMar>
          </w:tcPr>
          <w:p>
            <w:pPr>
              <w:spacing w:after="0" w:line="240" w:lineRule="auto"/>
            </w:pPr>
            <w:r>
              <w:rPr>
                <w:rFonts w:ascii="Aptos" w:hAnsi="Aptos"/>
                <w:color w:val="202A33"/>
                <w:sz w:val="18"/>
              </w:rPr>
              <w:t>1.5</w:t>
            </w:r>
          </w:p>
        </w:tc>
      </w:tr>
      <w:tr>
        <w:trPr>
          <w:cantSplit/>
        </w:trPr>
        <w:tc>
          <w:tcPr>
            <w:tcW w:type="dxa" w:w="3312"/>
            <w:vAlign w:val="center"/>
            <w:tcMar>
              <w:top w:w="95" w:type="dxa"/>
              <w:start w:w="110" w:type="dxa"/>
              <w:bottom w:w="95" w:type="dxa"/>
              <w:end w:w="110" w:type="dxa"/>
            </w:tcMar>
            <w:shd w:fill="EAF1F6" w:val="clear"/>
          </w:tcPr>
          <w:p>
            <w:pPr>
              <w:spacing w:after="0" w:line="240" w:lineRule="auto"/>
            </w:pPr>
            <w:r>
              <w:rPr>
                <w:rFonts w:ascii="Aptos" w:hAnsi="Aptos"/>
                <w:color w:val="202A33"/>
                <w:sz w:val="18"/>
              </w:rPr>
              <w:t>Premium</w:t>
            </w:r>
          </w:p>
        </w:tc>
        <w:tc>
          <w:tcPr>
            <w:tcW w:type="dxa" w:w="3312"/>
            <w:vAlign w:val="center"/>
            <w:tcMar>
              <w:top w:w="95" w:type="dxa"/>
              <w:start w:w="110" w:type="dxa"/>
              <w:bottom w:w="95" w:type="dxa"/>
              <w:end w:w="110" w:type="dxa"/>
            </w:tcMar>
            <w:shd w:fill="EAF1F6" w:val="clear"/>
          </w:tcPr>
          <w:p>
            <w:pPr>
              <w:spacing w:after="0" w:line="240" w:lineRule="auto"/>
            </w:pPr>
            <w:r>
              <w:rPr>
                <w:rFonts w:ascii="Aptos" w:hAnsi="Aptos"/>
                <w:color w:val="202A33"/>
                <w:sz w:val="18"/>
              </w:rPr>
              <w:t>$100</w:t>
            </w:r>
          </w:p>
        </w:tc>
        <w:tc>
          <w:tcPr>
            <w:tcW w:type="dxa" w:w="3312"/>
            <w:vAlign w:val="center"/>
            <w:tcMar>
              <w:top w:w="95" w:type="dxa"/>
              <w:start w:w="110" w:type="dxa"/>
              <w:bottom w:w="95" w:type="dxa"/>
              <w:end w:w="110" w:type="dxa"/>
            </w:tcMar>
            <w:shd w:fill="EAF1F6" w:val="clear"/>
          </w:tcPr>
          <w:p>
            <w:pPr>
              <w:spacing w:after="0" w:line="240" w:lineRule="auto"/>
            </w:pPr>
            <w:r>
              <w:rPr>
                <w:rFonts w:ascii="Aptos" w:hAnsi="Aptos"/>
                <w:color w:val="202A33"/>
                <w:sz w:val="18"/>
              </w:rPr>
              <w:t>2.5</w:t>
            </w:r>
          </w:p>
        </w:tc>
      </w:tr>
      <w:tr>
        <w:trPr>
          <w:cantSplit/>
        </w:trPr>
        <w:tc>
          <w:tcPr>
            <w:tcW w:type="dxa" w:w="3312"/>
            <w:vAlign w:val="center"/>
            <w:tcMar>
              <w:top w:w="95" w:type="dxa"/>
              <w:start w:w="110" w:type="dxa"/>
              <w:bottom w:w="95" w:type="dxa"/>
              <w:end w:w="110" w:type="dxa"/>
            </w:tcMar>
          </w:tcPr>
          <w:p>
            <w:pPr>
              <w:spacing w:after="0" w:line="240" w:lineRule="auto"/>
            </w:pPr>
            <w:r>
              <w:rPr>
                <w:rFonts w:ascii="Aptos" w:hAnsi="Aptos"/>
                <w:color w:val="202A33"/>
                <w:sz w:val="18"/>
              </w:rPr>
              <w:t>Business</w:t>
            </w:r>
          </w:p>
        </w:tc>
        <w:tc>
          <w:tcPr>
            <w:tcW w:type="dxa" w:w="3312"/>
            <w:vAlign w:val="center"/>
            <w:tcMar>
              <w:top w:w="95" w:type="dxa"/>
              <w:start w:w="110" w:type="dxa"/>
              <w:bottom w:w="95" w:type="dxa"/>
              <w:end w:w="110" w:type="dxa"/>
            </w:tcMar>
          </w:tcPr>
          <w:p>
            <w:pPr>
              <w:spacing w:after="0" w:line="240" w:lineRule="auto"/>
            </w:pPr>
            <w:r>
              <w:rPr>
                <w:rFonts w:ascii="Aptos" w:hAnsi="Aptos"/>
                <w:color w:val="202A33"/>
                <w:sz w:val="18"/>
              </w:rPr>
              <w:t>$180</w:t>
            </w:r>
          </w:p>
        </w:tc>
        <w:tc>
          <w:tcPr>
            <w:tcW w:type="dxa" w:w="3312"/>
            <w:vAlign w:val="center"/>
            <w:tcMar>
              <w:top w:w="95" w:type="dxa"/>
              <w:start w:w="110" w:type="dxa"/>
              <w:bottom w:w="95" w:type="dxa"/>
              <w:end w:w="110" w:type="dxa"/>
            </w:tcMar>
          </w:tcPr>
          <w:p>
            <w:pPr>
              <w:spacing w:after="0" w:line="240" w:lineRule="auto"/>
            </w:pPr>
            <w:r>
              <w:rPr>
                <w:rFonts w:ascii="Aptos" w:hAnsi="Aptos"/>
                <w:color w:val="202A33"/>
                <w:sz w:val="18"/>
              </w:rPr>
              <w:t>4.0</w:t>
            </w:r>
          </w:p>
        </w:tc>
      </w:tr>
    </w:tbl>
    <w:p>
      <w:pPr>
        <w:spacing w:after="40"/>
      </w:pPr>
    </w:p>
    <w:p>
      <w:pPr>
        <w:pStyle w:val="Heading2"/>
        <w:keepNext/>
        <w:spacing w:before="160" w:after="100"/>
      </w:pPr>
      <w:r>
        <w:rPr>
          <w:rFonts w:ascii="Aptos" w:hAnsi="Aptos"/>
          <w:b/>
          <w:color w:val="000000"/>
          <w:sz w:val="25"/>
        </w:rPr>
        <w:t>Linked entities</w:t>
      </w:r>
    </w:p>
    <w:p>
      <w:pPr>
        <w:keepLines w:val="0"/>
        <w:spacing w:after="120" w:before="0" w:line="259" w:lineRule="auto"/>
      </w:pPr>
      <w:r>
        <w:rPr>
          <w:rFonts w:ascii="Aptos" w:hAnsi="Aptos"/>
          <w:color w:val="202A33"/>
          <w:sz w:val="20"/>
        </w:rPr>
        <w:t>Each customer receives one account in this first version. Merchants have a category and region, and every terminal belongs to one merchant. A customer is assigned a small set of familiar terminals, usually from their home region. The generator keeps these IDs linked so analysts can follow a transaction from customer to account to merchant and terminal.</w:t>
      </w:r>
    </w:p>
    <w:p>
      <w:pPr>
        <w:pStyle w:val="Heading2"/>
        <w:keepNext/>
        <w:spacing w:before="160" w:after="100"/>
      </w:pPr>
      <w:r>
        <w:rPr>
          <w:rFonts w:ascii="Aptos" w:hAnsi="Aptos"/>
          <w:b/>
          <w:color w:val="000000"/>
          <w:sz w:val="25"/>
        </w:rPr>
        <w:t>Ordinary transactions</w:t>
      </w:r>
    </w:p>
    <w:p>
      <w:pPr>
        <w:keepLines w:val="0"/>
        <w:spacing w:after="120" w:before="0" w:line="259" w:lineRule="auto"/>
      </w:pPr>
      <w:r>
        <w:rPr>
          <w:rFonts w:ascii="Aptos" w:hAnsi="Aptos"/>
          <w:color w:val="202A33"/>
          <w:sz w:val="20"/>
        </w:rPr>
        <w:t>For each customer and simulated date, a Poisson draw determines the number of events using that customer's latent daily rate. The generator places those events at random ordered seconds within the day. Amounts are log-normal around the customer's typical spend. Channel and authentication types are sampled from configured fictional probabilities. Most activity uses familiar terminals; a small share uses another endpoint to avoid making every unfamiliar event inherently abnormal.</w:t>
      </w:r>
    </w:p>
    <w:tbl>
      <w:tblPr>
        <w:tblW w:type="auto" w:w="0"/>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W w:w="9936" w:type="dxa"/>
      </w:tblPr>
      <w:tblGrid>
        <w:gridCol w:w="3528"/>
        <w:gridCol w:w="6408"/>
      </w:tblGrid>
      <w:tr>
        <w:trPr>
          <w:tblHeader w:val="true"/>
          <w:cantSplit/>
        </w:trPr>
        <w:tc>
          <w:tcPr>
            <w:tcW w:type="dxa" w:w="3528"/>
            <w:vAlign w:val="center"/>
            <w:shd w:fill="18364D" w:val="clear"/>
            <w:tcMar>
              <w:top w:w="95" w:type="dxa"/>
              <w:start w:w="110" w:type="dxa"/>
              <w:bottom w:w="95" w:type="dxa"/>
              <w:end w:w="110" w:type="dxa"/>
            </w:tcMar>
          </w:tcPr>
          <w:p>
            <w:pPr>
              <w:spacing w:after="0" w:line="240" w:lineRule="auto"/>
            </w:pPr>
            <w:r>
              <w:rPr>
                <w:rFonts w:ascii="Aptos" w:hAnsi="Aptos"/>
                <w:b/>
                <w:color w:val="FFFFFF"/>
                <w:sz w:val="17"/>
              </w:rPr>
              <w:t>Default setting</w:t>
            </w:r>
          </w:p>
        </w:tc>
        <w:tc>
          <w:tcPr>
            <w:tcW w:type="dxa" w:w="6408"/>
            <w:vAlign w:val="center"/>
            <w:shd w:fill="18364D" w:val="clear"/>
            <w:tcMar>
              <w:top w:w="95" w:type="dxa"/>
              <w:start w:w="110" w:type="dxa"/>
              <w:bottom w:w="95" w:type="dxa"/>
              <w:end w:w="110" w:type="dxa"/>
            </w:tcMar>
          </w:tcPr>
          <w:p>
            <w:pPr>
              <w:spacing w:after="0" w:line="240" w:lineRule="auto"/>
            </w:pPr>
            <w:r>
              <w:rPr>
                <w:rFonts w:ascii="Aptos" w:hAnsi="Aptos"/>
                <w:b/>
                <w:color w:val="FFFFFF"/>
                <w:sz w:val="17"/>
              </w:rPr>
              <w:t>Value</w:t>
            </w:r>
          </w:p>
        </w:tc>
      </w:tr>
      <w:tr>
        <w:trPr>
          <w:cantSplit/>
        </w:trPr>
        <w:tc>
          <w:tcPr>
            <w:tcW w:type="dxa" w:w="3528"/>
            <w:vAlign w:val="center"/>
            <w:tcMar>
              <w:top w:w="95" w:type="dxa"/>
              <w:start w:w="110" w:type="dxa"/>
              <w:bottom w:w="95" w:type="dxa"/>
              <w:end w:w="110" w:type="dxa"/>
            </w:tcMar>
          </w:tcPr>
          <w:p>
            <w:pPr>
              <w:spacing w:after="0" w:line="240" w:lineRule="auto"/>
            </w:pPr>
            <w:r>
              <w:rPr>
                <w:rFonts w:ascii="Aptos" w:hAnsi="Aptos"/>
                <w:color w:val="202A33"/>
                <w:sz w:val="17"/>
              </w:rPr>
              <w:t>Random seed</w:t>
            </w:r>
          </w:p>
        </w:tc>
        <w:tc>
          <w:tcPr>
            <w:tcW w:type="dxa" w:w="6408"/>
            <w:vAlign w:val="center"/>
            <w:tcMar>
              <w:top w:w="95" w:type="dxa"/>
              <w:start w:w="110" w:type="dxa"/>
              <w:bottom w:w="95" w:type="dxa"/>
              <w:end w:w="110" w:type="dxa"/>
            </w:tcMar>
          </w:tcPr>
          <w:p>
            <w:pPr>
              <w:spacing w:after="0" w:line="240" w:lineRule="auto"/>
            </w:pPr>
            <w:r>
              <w:rPr>
                <w:rFonts w:ascii="Aptos" w:hAnsi="Aptos"/>
                <w:color w:val="202A33"/>
                <w:sz w:val="17"/>
              </w:rPr>
              <w:t>20260915; separate offsets isolate generation layers.</w:t>
            </w:r>
          </w:p>
        </w:tc>
      </w:tr>
      <w:tr>
        <w:trPr>
          <w:cantSplit/>
        </w:trPr>
        <w:tc>
          <w:tcPr>
            <w:tcW w:type="dxa" w:w="3528"/>
            <w:vAlign w:val="center"/>
            <w:tcMar>
              <w:top w:w="95" w:type="dxa"/>
              <w:start w:w="110" w:type="dxa"/>
              <w:bottom w:w="95" w:type="dxa"/>
              <w:end w:w="110" w:type="dxa"/>
            </w:tcMar>
            <w:shd w:fill="EAF1F6" w:val="clear"/>
          </w:tcPr>
          <w:p>
            <w:pPr>
              <w:spacing w:after="0" w:line="240" w:lineRule="auto"/>
            </w:pPr>
            <w:r>
              <w:rPr>
                <w:rFonts w:ascii="Aptos" w:hAnsi="Aptos"/>
                <w:color w:val="202A33"/>
                <w:sz w:val="17"/>
              </w:rPr>
              <w:t>Simulation horizon</w:t>
            </w:r>
          </w:p>
        </w:tc>
        <w:tc>
          <w:tcPr>
            <w:tcW w:type="dxa" w:w="6408"/>
            <w:vAlign w:val="center"/>
            <w:tcMar>
              <w:top w:w="95" w:type="dxa"/>
              <w:start w:w="110" w:type="dxa"/>
              <w:bottom w:w="95" w:type="dxa"/>
              <w:end w:w="110" w:type="dxa"/>
            </w:tcMar>
            <w:shd w:fill="EAF1F6" w:val="clear"/>
          </w:tcPr>
          <w:p>
            <w:pPr>
              <w:spacing w:after="0" w:line="240" w:lineRule="auto"/>
            </w:pPr>
            <w:r>
              <w:rPr>
                <w:rFonts w:ascii="Aptos" w:hAnsi="Aptos"/>
                <w:color w:val="202A33"/>
                <w:sz w:val="17"/>
              </w:rPr>
              <w:t>60 days starting 2026-01-01.</w:t>
            </w:r>
          </w:p>
        </w:tc>
      </w:tr>
      <w:tr>
        <w:trPr>
          <w:cantSplit/>
        </w:trPr>
        <w:tc>
          <w:tcPr>
            <w:tcW w:type="dxa" w:w="3528"/>
            <w:vAlign w:val="center"/>
            <w:tcMar>
              <w:top w:w="95" w:type="dxa"/>
              <w:start w:w="110" w:type="dxa"/>
              <w:bottom w:w="95" w:type="dxa"/>
              <w:end w:w="110" w:type="dxa"/>
            </w:tcMar>
          </w:tcPr>
          <w:p>
            <w:pPr>
              <w:spacing w:after="0" w:line="240" w:lineRule="auto"/>
            </w:pPr>
            <w:r>
              <w:rPr>
                <w:rFonts w:ascii="Aptos" w:hAnsi="Aptos"/>
                <w:color w:val="202A33"/>
                <w:sz w:val="17"/>
              </w:rPr>
              <w:t>Customer / merchant / terminal count</w:t>
            </w:r>
          </w:p>
        </w:tc>
        <w:tc>
          <w:tcPr>
            <w:tcW w:type="dxa" w:w="6408"/>
            <w:vAlign w:val="center"/>
            <w:tcMar>
              <w:top w:w="95" w:type="dxa"/>
              <w:start w:w="110" w:type="dxa"/>
              <w:bottom w:w="95" w:type="dxa"/>
              <w:end w:w="110" w:type="dxa"/>
            </w:tcMar>
          </w:tcPr>
          <w:p>
            <w:pPr>
              <w:spacing w:after="0" w:line="240" w:lineRule="auto"/>
            </w:pPr>
            <w:r>
              <w:rPr>
                <w:rFonts w:ascii="Aptos" w:hAnsi="Aptos"/>
                <w:color w:val="202A33"/>
                <w:sz w:val="17"/>
              </w:rPr>
              <w:t>2,000 / 800 / 1,200.</w:t>
            </w:r>
          </w:p>
        </w:tc>
      </w:tr>
      <w:tr>
        <w:trPr>
          <w:cantSplit/>
        </w:trPr>
        <w:tc>
          <w:tcPr>
            <w:tcW w:type="dxa" w:w="3528"/>
            <w:vAlign w:val="center"/>
            <w:tcMar>
              <w:top w:w="95" w:type="dxa"/>
              <w:start w:w="110" w:type="dxa"/>
              <w:bottom w:w="95" w:type="dxa"/>
              <w:end w:w="110" w:type="dxa"/>
            </w:tcMar>
            <w:shd w:fill="EAF1F6" w:val="clear"/>
          </w:tcPr>
          <w:p>
            <w:pPr>
              <w:spacing w:after="0" w:line="240" w:lineRule="auto"/>
            </w:pPr>
            <w:r>
              <w:rPr>
                <w:rFonts w:ascii="Aptos" w:hAnsi="Aptos"/>
                <w:color w:val="202A33"/>
                <w:sz w:val="17"/>
              </w:rPr>
              <w:t>Baseline channel share</w:t>
            </w:r>
          </w:p>
        </w:tc>
        <w:tc>
          <w:tcPr>
            <w:tcW w:type="dxa" w:w="6408"/>
            <w:vAlign w:val="center"/>
            <w:tcMar>
              <w:top w:w="95" w:type="dxa"/>
              <w:start w:w="110" w:type="dxa"/>
              <w:bottom w:w="95" w:type="dxa"/>
              <w:end w:w="110" w:type="dxa"/>
            </w:tcMar>
            <w:shd w:fill="EAF1F6" w:val="clear"/>
          </w:tcPr>
          <w:p>
            <w:pPr>
              <w:spacing w:after="0" w:line="240" w:lineRule="auto"/>
            </w:pPr>
            <w:r>
              <w:rPr>
                <w:rFonts w:ascii="Aptos" w:hAnsi="Aptos"/>
                <w:color w:val="202A33"/>
                <w:sz w:val="17"/>
              </w:rPr>
              <w:t>52% card present, 33% ecommerce, 15% mobile wallet.</w:t>
            </w:r>
          </w:p>
        </w:tc>
      </w:tr>
      <w:tr>
        <w:trPr>
          <w:cantSplit/>
        </w:trPr>
        <w:tc>
          <w:tcPr>
            <w:tcW w:type="dxa" w:w="3528"/>
            <w:vAlign w:val="center"/>
            <w:tcMar>
              <w:top w:w="95" w:type="dxa"/>
              <w:start w:w="110" w:type="dxa"/>
              <w:bottom w:w="95" w:type="dxa"/>
              <w:end w:w="110" w:type="dxa"/>
            </w:tcMar>
          </w:tcPr>
          <w:p>
            <w:pPr>
              <w:spacing w:after="0" w:line="240" w:lineRule="auto"/>
            </w:pPr>
            <w:r>
              <w:rPr>
                <w:rFonts w:ascii="Aptos" w:hAnsi="Aptos"/>
                <w:color w:val="202A33"/>
                <w:sz w:val="17"/>
              </w:rPr>
              <w:t>Authentication soft-decline rate</w:t>
            </w:r>
          </w:p>
        </w:tc>
        <w:tc>
          <w:tcPr>
            <w:tcW w:type="dxa" w:w="6408"/>
            <w:vAlign w:val="center"/>
            <w:tcMar>
              <w:top w:w="95" w:type="dxa"/>
              <w:start w:w="110" w:type="dxa"/>
              <w:bottom w:w="95" w:type="dxa"/>
              <w:end w:w="110" w:type="dxa"/>
            </w:tcMar>
          </w:tcPr>
          <w:p>
            <w:pPr>
              <w:spacing w:after="0" w:line="240" w:lineRule="auto"/>
            </w:pPr>
            <w:r>
              <w:rPr>
                <w:rFonts w:ascii="Aptos" w:hAnsi="Aptos"/>
                <w:color w:val="202A33"/>
                <w:sz w:val="17"/>
              </w:rPr>
              <w:t>1.5% in the ordinary event generator.</w:t>
            </w:r>
          </w:p>
        </w:tc>
      </w:tr>
      <w:tr>
        <w:trPr>
          <w:cantSplit/>
        </w:trPr>
        <w:tc>
          <w:tcPr>
            <w:tcW w:type="dxa" w:w="3528"/>
            <w:vAlign w:val="center"/>
            <w:tcMar>
              <w:top w:w="95" w:type="dxa"/>
              <w:start w:w="110" w:type="dxa"/>
              <w:bottom w:w="95" w:type="dxa"/>
              <w:end w:w="110" w:type="dxa"/>
            </w:tcMar>
            <w:shd w:fill="EAF1F6" w:val="clear"/>
          </w:tcPr>
          <w:p>
            <w:pPr>
              <w:spacing w:after="0" w:line="240" w:lineRule="auto"/>
            </w:pPr>
            <w:r>
              <w:rPr>
                <w:rFonts w:ascii="Aptos" w:hAnsi="Aptos"/>
                <w:color w:val="202A33"/>
                <w:sz w:val="17"/>
              </w:rPr>
              <w:t>Familiar terminal behavior</w:t>
            </w:r>
          </w:p>
        </w:tc>
        <w:tc>
          <w:tcPr>
            <w:tcW w:type="dxa" w:w="6408"/>
            <w:vAlign w:val="center"/>
            <w:tcMar>
              <w:top w:w="95" w:type="dxa"/>
              <w:start w:w="110" w:type="dxa"/>
              <w:bottom w:w="95" w:type="dxa"/>
              <w:end w:w="110" w:type="dxa"/>
            </w:tcMar>
            <w:shd w:fill="EAF1F6" w:val="clear"/>
          </w:tcPr>
          <w:p>
            <w:pPr>
              <w:spacing w:after="0" w:line="240" w:lineRule="auto"/>
            </w:pPr>
            <w:r>
              <w:rPr>
                <w:rFonts w:ascii="Aptos" w:hAnsi="Aptos"/>
                <w:color w:val="202A33"/>
                <w:sz w:val="17"/>
              </w:rPr>
              <w:t>95% uses habitual endpoint set; 5% can use any endpoint.</w:t>
            </w:r>
          </w:p>
        </w:tc>
      </w:tr>
      <w:tr>
        <w:trPr>
          <w:cantSplit/>
        </w:trPr>
        <w:tc>
          <w:tcPr>
            <w:tcW w:type="dxa" w:w="3528"/>
            <w:vAlign w:val="center"/>
            <w:tcMar>
              <w:top w:w="95" w:type="dxa"/>
              <w:start w:w="110" w:type="dxa"/>
              <w:bottom w:w="95" w:type="dxa"/>
              <w:end w:w="110" w:type="dxa"/>
            </w:tcMar>
          </w:tcPr>
          <w:p>
            <w:pPr>
              <w:spacing w:after="0" w:line="240" w:lineRule="auto"/>
            </w:pPr>
            <w:r>
              <w:rPr>
                <w:rFonts w:ascii="Aptos" w:hAnsi="Aptos"/>
                <w:color w:val="202A33"/>
                <w:sz w:val="17"/>
              </w:rPr>
              <w:t>Crisis onset</w:t>
            </w:r>
          </w:p>
        </w:tc>
        <w:tc>
          <w:tcPr>
            <w:tcW w:type="dxa" w:w="6408"/>
            <w:vAlign w:val="center"/>
            <w:tcMar>
              <w:top w:w="95" w:type="dxa"/>
              <w:start w:w="110" w:type="dxa"/>
              <w:bottom w:w="95" w:type="dxa"/>
              <w:end w:w="110" w:type="dxa"/>
            </w:tcMar>
          </w:tcPr>
          <w:p>
            <w:pPr>
              <w:spacing w:after="0" w:line="240" w:lineRule="auto"/>
            </w:pPr>
            <w:r>
              <w:rPr>
                <w:rFonts w:ascii="Aptos" w:hAnsi="Aptos"/>
                <w:color w:val="202A33"/>
                <w:sz w:val="17"/>
              </w:rPr>
              <w:t>About 58% into the horizon; scenario bursts are split across periods.</w:t>
            </w:r>
          </w:p>
        </w:tc>
      </w:tr>
    </w:tbl>
    <w:p>
      <w:pPr>
        <w:spacing w:after="40"/>
      </w:pPr>
    </w:p>
    <w:p>
      <w:pPr>
        <w:pStyle w:val="Heading1"/>
        <w:keepNext/>
        <w:spacing w:before="240" w:after="100"/>
      </w:pPr>
      <w:r>
        <w:rPr>
          <w:rFonts w:ascii="Aptos" w:hAnsi="Aptos"/>
          <w:b/>
          <w:color w:val="000000"/>
          <w:sz w:val="34"/>
        </w:rPr>
        <w:t>5  Fraud Scenarios and Evaluation Labels</w:t>
      </w:r>
    </w:p>
    <w:p>
      <w:pPr>
        <w:keepLines w:val="0"/>
        <w:spacing w:after="120" w:before="0" w:line="259" w:lineRule="auto"/>
      </w:pPr>
      <w:r>
        <w:rPr>
          <w:rFonts w:ascii="Aptos" w:hAnsi="Aptos"/>
          <w:color w:val="202A33"/>
          <w:sz w:val="20"/>
        </w:rPr>
        <w:t>The simulator adds 700 events across four designed typologies and ten separately sampled campaigns per typology. Events are placed in earlier and later portions of the time horizon so both training and holdout periods contain examples. The scenarios are simplified signatures for learning and are not descriptions of real attack rates or tactics.</w:t>
      </w:r>
    </w:p>
    <w:tbl>
      <w:tblPr>
        <w:tblW w:type="auto" w:w="0"/>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W w:w="9936" w:type="dxa"/>
      </w:tblPr>
      <w:tblGrid>
        <w:gridCol w:w="2592"/>
        <w:gridCol w:w="1152"/>
        <w:gridCol w:w="6192"/>
      </w:tblGrid>
      <w:tr>
        <w:trPr>
          <w:tblHeader w:val="true"/>
          <w:cantSplit/>
        </w:trPr>
        <w:tc>
          <w:tcPr>
            <w:tcW w:type="dxa" w:w="2592"/>
            <w:vAlign w:val="center"/>
            <w:shd w:fill="18364D" w:val="clear"/>
            <w:tcMar>
              <w:top w:w="95" w:type="dxa"/>
              <w:start w:w="110" w:type="dxa"/>
              <w:bottom w:w="95" w:type="dxa"/>
              <w:end w:w="110" w:type="dxa"/>
            </w:tcMar>
          </w:tcPr>
          <w:p>
            <w:pPr>
              <w:spacing w:after="0" w:line="240" w:lineRule="auto"/>
            </w:pPr>
            <w:r>
              <w:rPr>
                <w:rFonts w:ascii="Aptos" w:hAnsi="Aptos"/>
                <w:b/>
                <w:color w:val="FFFFFF"/>
                <w:sz w:val="17"/>
              </w:rPr>
              <w:t>Scenario</w:t>
            </w:r>
          </w:p>
        </w:tc>
        <w:tc>
          <w:tcPr>
            <w:tcW w:type="dxa" w:w="1152"/>
            <w:vAlign w:val="center"/>
            <w:shd w:fill="18364D" w:val="clear"/>
            <w:tcMar>
              <w:top w:w="95" w:type="dxa"/>
              <w:start w:w="110" w:type="dxa"/>
              <w:bottom w:w="95" w:type="dxa"/>
              <w:end w:w="110" w:type="dxa"/>
            </w:tcMar>
          </w:tcPr>
          <w:p>
            <w:pPr>
              <w:spacing w:after="0" w:line="240" w:lineRule="auto"/>
            </w:pPr>
            <w:r>
              <w:rPr>
                <w:rFonts w:ascii="Aptos" w:hAnsi="Aptos"/>
                <w:b/>
                <w:color w:val="FFFFFF"/>
                <w:sz w:val="17"/>
              </w:rPr>
              <w:t>Events</w:t>
            </w:r>
          </w:p>
        </w:tc>
        <w:tc>
          <w:tcPr>
            <w:tcW w:type="dxa" w:w="6192"/>
            <w:vAlign w:val="center"/>
            <w:shd w:fill="18364D" w:val="clear"/>
            <w:tcMar>
              <w:top w:w="95" w:type="dxa"/>
              <w:start w:w="110" w:type="dxa"/>
              <w:bottom w:w="95" w:type="dxa"/>
              <w:end w:w="110" w:type="dxa"/>
            </w:tcMar>
          </w:tcPr>
          <w:p>
            <w:pPr>
              <w:spacing w:after="0" w:line="240" w:lineRule="auto"/>
            </w:pPr>
            <w:r>
              <w:rPr>
                <w:rFonts w:ascii="Aptos" w:hAnsi="Aptos"/>
                <w:b/>
                <w:color w:val="FFFFFF"/>
                <w:sz w:val="17"/>
              </w:rPr>
              <w:t>Constructed signal</w:t>
            </w:r>
          </w:p>
        </w:tc>
      </w:tr>
      <w:tr>
        <w:trPr>
          <w:cantSplit/>
        </w:trPr>
        <w:tc>
          <w:tcPr>
            <w:tcW w:type="dxa" w:w="2592"/>
            <w:vAlign w:val="center"/>
            <w:tcMar>
              <w:top w:w="95" w:type="dxa"/>
              <w:start w:w="110" w:type="dxa"/>
              <w:bottom w:w="95" w:type="dxa"/>
              <w:end w:w="110" w:type="dxa"/>
            </w:tcMar>
          </w:tcPr>
          <w:p>
            <w:pPr>
              <w:spacing w:after="0" w:line="240" w:lineRule="auto"/>
            </w:pPr>
            <w:r>
              <w:rPr>
                <w:rFonts w:ascii="Aptos" w:hAnsi="Aptos"/>
                <w:color w:val="202A33"/>
                <w:sz w:val="17"/>
              </w:rPr>
              <w:t>Terminal compromise</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7"/>
              </w:rPr>
              <w:t>320</w:t>
            </w:r>
          </w:p>
        </w:tc>
        <w:tc>
          <w:tcPr>
            <w:tcW w:type="dxa" w:w="6192"/>
            <w:vAlign w:val="center"/>
            <w:tcMar>
              <w:top w:w="95" w:type="dxa"/>
              <w:start w:w="110" w:type="dxa"/>
              <w:bottom w:w="95" w:type="dxa"/>
              <w:end w:w="110" w:type="dxa"/>
            </w:tcMar>
          </w:tcPr>
          <w:p>
            <w:pPr>
              <w:spacing w:after="0" w:line="240" w:lineRule="auto"/>
            </w:pPr>
            <w:r>
              <w:rPr>
                <w:rFonts w:ascii="Aptos" w:hAnsi="Aptos"/>
                <w:color w:val="202A33"/>
                <w:sz w:val="17"/>
              </w:rPr>
              <w:t>Repeated bursts at one endpoint across several customers.</w:t>
            </w:r>
          </w:p>
        </w:tc>
      </w:tr>
      <w:tr>
        <w:trPr>
          <w:cantSplit/>
        </w:trPr>
        <w:tc>
          <w:tcPr>
            <w:tcW w:type="dxa" w:w="2592"/>
            <w:vAlign w:val="center"/>
            <w:tcMar>
              <w:top w:w="95" w:type="dxa"/>
              <w:start w:w="110" w:type="dxa"/>
              <w:bottom w:w="95" w:type="dxa"/>
              <w:end w:w="110" w:type="dxa"/>
            </w:tcMar>
            <w:shd w:fill="EAF1F6" w:val="clear"/>
          </w:tcPr>
          <w:p>
            <w:pPr>
              <w:spacing w:after="0" w:line="240" w:lineRule="auto"/>
            </w:pPr>
            <w:r>
              <w:rPr>
                <w:rFonts w:ascii="Aptos" w:hAnsi="Aptos"/>
                <w:color w:val="202A33"/>
                <w:sz w:val="17"/>
              </w:rPr>
              <w:t>Card testing</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7"/>
              </w:rPr>
              <w:t>240</w:t>
            </w:r>
          </w:p>
        </w:tc>
        <w:tc>
          <w:tcPr>
            <w:tcW w:type="dxa" w:w="6192"/>
            <w:vAlign w:val="center"/>
            <w:tcMar>
              <w:top w:w="95" w:type="dxa"/>
              <w:start w:w="110" w:type="dxa"/>
              <w:bottom w:w="95" w:type="dxa"/>
              <w:end w:w="110" w:type="dxa"/>
            </w:tcMar>
            <w:shd w:fill="EAF1F6" w:val="clear"/>
          </w:tcPr>
          <w:p>
            <w:pPr>
              <w:spacing w:after="0" w:line="240" w:lineRule="auto"/>
            </w:pPr>
            <w:r>
              <w:rPr>
                <w:rFonts w:ascii="Aptos" w:hAnsi="Aptos"/>
                <w:color w:val="202A33"/>
                <w:sz w:val="17"/>
              </w:rPr>
              <w:t>Low-value, rapid sequences at shared endpoints.</w:t>
            </w:r>
          </w:p>
        </w:tc>
      </w:tr>
      <w:tr>
        <w:trPr>
          <w:cantSplit/>
        </w:trPr>
        <w:tc>
          <w:tcPr>
            <w:tcW w:type="dxa" w:w="2592"/>
            <w:vAlign w:val="center"/>
            <w:tcMar>
              <w:top w:w="95" w:type="dxa"/>
              <w:start w:w="110" w:type="dxa"/>
              <w:bottom w:w="95" w:type="dxa"/>
              <w:end w:w="110" w:type="dxa"/>
            </w:tcMar>
          </w:tcPr>
          <w:p>
            <w:pPr>
              <w:spacing w:after="0" w:line="240" w:lineRule="auto"/>
            </w:pPr>
            <w:r>
              <w:rPr>
                <w:rFonts w:ascii="Aptos" w:hAnsi="Aptos"/>
                <w:color w:val="202A33"/>
                <w:sz w:val="17"/>
              </w:rPr>
              <w:t>Credential compromise</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7"/>
              </w:rPr>
              <w:t>80</w:t>
            </w:r>
          </w:p>
        </w:tc>
        <w:tc>
          <w:tcPr>
            <w:tcW w:type="dxa" w:w="6192"/>
            <w:vAlign w:val="center"/>
            <w:tcMar>
              <w:top w:w="95" w:type="dxa"/>
              <w:start w:w="110" w:type="dxa"/>
              <w:bottom w:w="95" w:type="dxa"/>
              <w:end w:w="110" w:type="dxa"/>
            </w:tcMar>
          </w:tcPr>
          <w:p>
            <w:pPr>
              <w:spacing w:after="0" w:line="240" w:lineRule="auto"/>
            </w:pPr>
            <w:r>
              <w:rPr>
                <w:rFonts w:ascii="Aptos" w:hAnsi="Aptos"/>
                <w:color w:val="202A33"/>
                <w:sz w:val="17"/>
              </w:rPr>
              <w:t>Larger purchases at unfamiliar terminals for one customer.</w:t>
            </w:r>
          </w:p>
        </w:tc>
      </w:tr>
      <w:tr>
        <w:trPr>
          <w:cantSplit/>
        </w:trPr>
        <w:tc>
          <w:tcPr>
            <w:tcW w:type="dxa" w:w="2592"/>
            <w:vAlign w:val="center"/>
            <w:tcMar>
              <w:top w:w="95" w:type="dxa"/>
              <w:start w:w="110" w:type="dxa"/>
              <w:bottom w:w="95" w:type="dxa"/>
              <w:end w:w="110" w:type="dxa"/>
            </w:tcMar>
            <w:shd w:fill="EAF1F6" w:val="clear"/>
          </w:tcPr>
          <w:p>
            <w:pPr>
              <w:spacing w:after="0" w:line="240" w:lineRule="auto"/>
            </w:pPr>
            <w:r>
              <w:rPr>
                <w:rFonts w:ascii="Aptos" w:hAnsi="Aptos"/>
                <w:color w:val="202A33"/>
                <w:sz w:val="17"/>
              </w:rPr>
              <w:t>Account takeover</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7"/>
              </w:rPr>
              <w:t>60</w:t>
            </w:r>
          </w:p>
        </w:tc>
        <w:tc>
          <w:tcPr>
            <w:tcW w:type="dxa" w:w="6192"/>
            <w:vAlign w:val="center"/>
            <w:tcMar>
              <w:top w:w="95" w:type="dxa"/>
              <w:start w:w="110" w:type="dxa"/>
              <w:bottom w:w="95" w:type="dxa"/>
              <w:end w:w="110" w:type="dxa"/>
            </w:tcMar>
            <w:shd w:fill="EAF1F6" w:val="clear"/>
          </w:tcPr>
          <w:p>
            <w:pPr>
              <w:spacing w:after="0" w:line="240" w:lineRule="auto"/>
            </w:pPr>
            <w:r>
              <w:rPr>
                <w:rFonts w:ascii="Aptos" w:hAnsi="Aptos"/>
                <w:color w:val="202A33"/>
                <w:sz w:val="17"/>
              </w:rPr>
              <w:t>Shifted channel/authentication context at new endpoints.</w:t>
            </w:r>
          </w:p>
        </w:tc>
      </w:tr>
      <w:tr>
        <w:trPr>
          <w:cantSplit/>
        </w:trPr>
        <w:tc>
          <w:tcPr>
            <w:tcW w:type="dxa" w:w="2592"/>
            <w:vAlign w:val="center"/>
            <w:tcMar>
              <w:top w:w="95" w:type="dxa"/>
              <w:start w:w="110" w:type="dxa"/>
              <w:bottom w:w="95" w:type="dxa"/>
              <w:end w:w="110" w:type="dxa"/>
            </w:tcMar>
          </w:tcPr>
          <w:p>
            <w:pPr>
              <w:spacing w:after="0" w:line="240" w:lineRule="auto"/>
            </w:pPr>
            <w:r>
              <w:rPr>
                <w:rFonts w:ascii="Aptos" w:hAnsi="Aptos"/>
                <w:color w:val="202A33"/>
                <w:sz w:val="17"/>
              </w:rPr>
              <w:t>Total</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7"/>
              </w:rPr>
              <w:t>700</w:t>
            </w:r>
          </w:p>
        </w:tc>
        <w:tc>
          <w:tcPr>
            <w:tcW w:type="dxa" w:w="6192"/>
            <w:vAlign w:val="center"/>
            <w:tcMar>
              <w:top w:w="95" w:type="dxa"/>
              <w:start w:w="110" w:type="dxa"/>
              <w:bottom w:w="95" w:type="dxa"/>
              <w:end w:w="110" w:type="dxa"/>
            </w:tcMar>
          </w:tcPr>
          <w:p>
            <w:pPr>
              <w:spacing w:after="0" w:line="240" w:lineRule="auto"/>
            </w:pPr>
            <w:r>
              <w:rPr>
                <w:rFonts w:ascii="Aptos" w:hAnsi="Aptos"/>
                <w:color w:val="202A33"/>
                <w:sz w:val="17"/>
              </w:rPr>
              <w:t>Ten sampled campaigns per typology, spanning earlier and later dates.</w:t>
            </w:r>
          </w:p>
        </w:tc>
      </w:tr>
    </w:tbl>
    <w:p>
      <w:pPr>
        <w:spacing w:after="40"/>
      </w:pPr>
    </w:p>
    <w:p>
      <w:pPr>
        <w:pStyle w:val="Heading2"/>
        <w:keepNext/>
        <w:spacing w:before="160" w:after="100"/>
      </w:pPr>
      <w:r>
        <w:rPr>
          <w:rFonts w:ascii="Aptos" w:hAnsi="Aptos"/>
          <w:b/>
          <w:color w:val="000000"/>
          <w:sz w:val="25"/>
        </w:rPr>
        <w:t>Where labels live</w:t>
      </w:r>
    </w:p>
    <w:p>
      <w:pPr>
        <w:keepLines w:val="0"/>
        <w:spacing w:after="120" w:before="0" w:line="259" w:lineRule="auto"/>
      </w:pPr>
      <w:r>
        <w:rPr>
          <w:rFonts w:ascii="Aptos" w:hAnsi="Aptos"/>
          <w:color w:val="202A33"/>
          <w:sz w:val="20"/>
        </w:rPr>
        <w:t>The generator returns the transaction table and a distinct ground-truth table keyed by transaction ID. The feature builder sees no label column. The pipeline joins the IDs afterward to construct a temporary Fraud_Label for model training and offline evaluation. It writes the labels under data/synthetic/run/restricted/ and excludes them from transaction, feature, decision, monitoring, and SQLite tables. For reproducibility, the public repository also contains the synthetic evaluation labels as a separate, clearly named CSV table. Anyone exploring transactions should keep that table out of SQL investigations and model inputs.</w:t>
      </w:r>
    </w:p>
    <w:p>
      <w:pPr>
        <w:pStyle w:val="Heading1"/>
        <w:keepNext/>
        <w:spacing w:before="240" w:after="100"/>
      </w:pPr>
      <w:r>
        <w:rPr>
          <w:rFonts w:ascii="Aptos" w:hAnsi="Aptos"/>
          <w:b/>
          <w:color w:val="000000"/>
          <w:sz w:val="34"/>
        </w:rPr>
        <w:t>6  Data Inventory and Field Meanings</w:t>
      </w:r>
    </w:p>
    <w:p>
      <w:pPr>
        <w:keepLines w:val="0"/>
        <w:spacing w:after="120" w:before="0" w:line="259" w:lineRule="auto"/>
      </w:pPr>
      <w:r>
        <w:rPr>
          <w:rFonts w:ascii="Aptos" w:hAnsi="Aptos"/>
          <w:color w:val="202A33"/>
          <w:sz w:val="20"/>
        </w:rPr>
        <w:t>The published run snapshot contains 29 CSV tables and 1,094,394 row records: 28 public analytical tables with 1,093,694 rows, plus 700 separate synthetic fraud labels. The totals include multiple analytical views of the same events; they are not unique-transaction counts. The core transactions and behavior_features tables each have 246,314 rows. The default-seed decision table has one row per later-date holdout event per strategy.</w:t>
      </w:r>
    </w:p>
    <w:tbl>
      <w:tblPr>
        <w:tblW w:type="auto" w:w="0"/>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W w:w="9936" w:type="dxa"/>
      </w:tblPr>
      <w:tblGrid>
        <w:gridCol w:w="3096"/>
        <w:gridCol w:w="1152"/>
        <w:gridCol w:w="5688"/>
      </w:tblGrid>
      <w:tr>
        <w:trPr>
          <w:tblHeader w:val="true"/>
          <w:cantSplit/>
        </w:trPr>
        <w:tc>
          <w:tcPr>
            <w:tcW w:type="dxa" w:w="3096"/>
            <w:vAlign w:val="center"/>
            <w:shd w:fill="18364D" w:val="clear"/>
            <w:tcMar>
              <w:top w:w="95" w:type="dxa"/>
              <w:start w:w="110" w:type="dxa"/>
              <w:bottom w:w="95" w:type="dxa"/>
              <w:end w:w="110" w:type="dxa"/>
            </w:tcMar>
          </w:tcPr>
          <w:p>
            <w:pPr>
              <w:spacing w:after="0" w:line="240" w:lineRule="auto"/>
            </w:pPr>
            <w:r>
              <w:rPr>
                <w:rFonts w:ascii="Aptos" w:hAnsi="Aptos"/>
                <w:b/>
                <w:color w:val="FFFFFF"/>
                <w:sz w:val="15"/>
              </w:rPr>
              <w:t>Table</w:t>
            </w:r>
          </w:p>
        </w:tc>
        <w:tc>
          <w:tcPr>
            <w:tcW w:type="dxa" w:w="1152"/>
            <w:vAlign w:val="center"/>
            <w:shd w:fill="18364D" w:val="clear"/>
            <w:tcMar>
              <w:top w:w="95" w:type="dxa"/>
              <w:start w:w="110" w:type="dxa"/>
              <w:bottom w:w="95" w:type="dxa"/>
              <w:end w:w="110" w:type="dxa"/>
            </w:tcMar>
          </w:tcPr>
          <w:p>
            <w:pPr>
              <w:spacing w:after="0" w:line="240" w:lineRule="auto"/>
            </w:pPr>
            <w:r>
              <w:rPr>
                <w:rFonts w:ascii="Aptos" w:hAnsi="Aptos"/>
                <w:b/>
                <w:color w:val="FFFFFF"/>
                <w:sz w:val="15"/>
              </w:rPr>
              <w:t>Rows</w:t>
            </w:r>
          </w:p>
        </w:tc>
        <w:tc>
          <w:tcPr>
            <w:tcW w:type="dxa" w:w="5688"/>
            <w:vAlign w:val="center"/>
            <w:shd w:fill="18364D" w:val="clear"/>
            <w:tcMar>
              <w:top w:w="95" w:type="dxa"/>
              <w:start w:w="110" w:type="dxa"/>
              <w:bottom w:w="95" w:type="dxa"/>
              <w:end w:w="110" w:type="dxa"/>
            </w:tcMar>
          </w:tcPr>
          <w:p>
            <w:pPr>
              <w:spacing w:after="0" w:line="240" w:lineRule="auto"/>
            </w:pPr>
            <w:r>
              <w:rPr>
                <w:rFonts w:ascii="Aptos" w:hAnsi="Aptos"/>
                <w:b/>
                <w:color w:val="FFFFFF"/>
                <w:sz w:val="15"/>
              </w:rPr>
              <w:t>What one row represents</w:t>
            </w:r>
          </w:p>
        </w:tc>
      </w:tr>
      <w:tr>
        <w:trPr>
          <w:cantSplit/>
        </w:trPr>
        <w:tc>
          <w:tcPr>
            <w:tcW w:type="dxa" w:w="3096"/>
            <w:vAlign w:val="center"/>
            <w:tcMar>
              <w:top w:w="95" w:type="dxa"/>
              <w:start w:w="110" w:type="dxa"/>
              <w:bottom w:w="95" w:type="dxa"/>
              <w:end w:w="110" w:type="dxa"/>
            </w:tcMar>
          </w:tcPr>
          <w:p>
            <w:pPr>
              <w:spacing w:after="0" w:line="240" w:lineRule="auto"/>
            </w:pPr>
            <w:r>
              <w:rPr>
                <w:rFonts w:ascii="Aptos" w:hAnsi="Aptos"/>
                <w:color w:val="202A33"/>
                <w:sz w:val="15"/>
              </w:rPr>
              <w:t>accounts</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5"/>
              </w:rPr>
              <w:t>2,000</w:t>
            </w:r>
          </w:p>
        </w:tc>
        <w:tc>
          <w:tcPr>
            <w:tcW w:type="dxa" w:w="5688"/>
            <w:vAlign w:val="center"/>
            <w:tcMar>
              <w:top w:w="95" w:type="dxa"/>
              <w:start w:w="110" w:type="dxa"/>
              <w:bottom w:w="95" w:type="dxa"/>
              <w:end w:w="110" w:type="dxa"/>
            </w:tcMar>
          </w:tcPr>
          <w:p>
            <w:pPr>
              <w:spacing w:after="0" w:line="240" w:lineRule="auto"/>
            </w:pPr>
            <w:r>
              <w:rPr>
                <w:rFonts w:ascii="Aptos" w:hAnsi="Aptos"/>
                <w:color w:val="202A33"/>
                <w:sz w:val="15"/>
              </w:rPr>
              <w:t>Account linked to customer.</w:t>
            </w:r>
          </w:p>
        </w:tc>
      </w:tr>
      <w:tr>
        <w:trPr>
          <w:cantSplit/>
        </w:trPr>
        <w:tc>
          <w:tcPr>
            <w:tcW w:type="dxa" w:w="309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action_counts</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16</w:t>
            </w:r>
          </w:p>
        </w:tc>
        <w:tc>
          <w:tcPr>
            <w:tcW w:type="dxa" w:w="5688"/>
            <w:vAlign w:val="center"/>
            <w:tcMar>
              <w:top w:w="95" w:type="dxa"/>
              <w:start w:w="110" w:type="dxa"/>
              <w:bottom w:w="95" w:type="dxa"/>
              <w:end w:w="110" w:type="dxa"/>
            </w:tcMar>
            <w:shd w:fill="EAF1F6" w:val="clear"/>
          </w:tcPr>
          <w:p>
            <w:pPr>
              <w:spacing w:after="0" w:line="240" w:lineRule="auto"/>
            </w:pPr>
            <w:r>
              <w:rPr>
                <w:rFonts w:ascii="Aptos" w:hAnsi="Aptos"/>
                <w:color w:val="202A33"/>
                <w:sz w:val="15"/>
              </w:rPr>
              <w:t>Counts by operating action and strategy.</w:t>
            </w:r>
          </w:p>
        </w:tc>
      </w:tr>
      <w:tr>
        <w:trPr>
          <w:cantSplit/>
        </w:trPr>
        <w:tc>
          <w:tcPr>
            <w:tcW w:type="dxa" w:w="3096"/>
            <w:vAlign w:val="center"/>
            <w:tcMar>
              <w:top w:w="95" w:type="dxa"/>
              <w:start w:w="110" w:type="dxa"/>
              <w:bottom w:w="95" w:type="dxa"/>
              <w:end w:w="110" w:type="dxa"/>
            </w:tcMar>
          </w:tcPr>
          <w:p>
            <w:pPr>
              <w:spacing w:after="0" w:line="240" w:lineRule="auto"/>
            </w:pPr>
            <w:r>
              <w:rPr>
                <w:rFonts w:ascii="Aptos" w:hAnsi="Aptos"/>
                <w:color w:val="202A33"/>
                <w:sz w:val="15"/>
              </w:rPr>
              <w:t>behavior_features</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5"/>
              </w:rPr>
              <w:t>246,314</w:t>
            </w:r>
          </w:p>
        </w:tc>
        <w:tc>
          <w:tcPr>
            <w:tcW w:type="dxa" w:w="5688"/>
            <w:vAlign w:val="center"/>
            <w:tcMar>
              <w:top w:w="95" w:type="dxa"/>
              <w:start w:w="110" w:type="dxa"/>
              <w:bottom w:w="95" w:type="dxa"/>
              <w:end w:w="110" w:type="dxa"/>
            </w:tcMar>
          </w:tcPr>
          <w:p>
            <w:pPr>
              <w:spacing w:after="0" w:line="240" w:lineRule="auto"/>
            </w:pPr>
            <w:r>
              <w:rPr>
                <w:rFonts w:ascii="Aptos" w:hAnsi="Aptos"/>
                <w:color w:val="202A33"/>
                <w:sz w:val="15"/>
              </w:rPr>
              <w:t>One timestamped event with observable features and rule score.</w:t>
            </w:r>
          </w:p>
        </w:tc>
      </w:tr>
      <w:tr>
        <w:trPr>
          <w:cantSplit/>
        </w:trPr>
        <w:tc>
          <w:tcPr>
            <w:tcW w:type="dxa" w:w="309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business_break_even_summary</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7</w:t>
            </w:r>
          </w:p>
        </w:tc>
        <w:tc>
          <w:tcPr>
            <w:tcW w:type="dxa" w:w="5688"/>
            <w:vAlign w:val="center"/>
            <w:tcMar>
              <w:top w:w="95" w:type="dxa"/>
              <w:start w:w="110" w:type="dxa"/>
              <w:bottom w:w="95" w:type="dxa"/>
              <w:end w:w="110" w:type="dxa"/>
            </w:tcMar>
            <w:shd w:fill="EAF1F6" w:val="clear"/>
          </w:tcPr>
          <w:p>
            <w:pPr>
              <w:spacing w:after="0" w:line="240" w:lineRule="auto"/>
            </w:pPr>
            <w:r>
              <w:rPr>
                <w:rFonts w:ascii="Aptos" w:hAnsi="Aptos"/>
                <w:color w:val="202A33"/>
                <w:sz w:val="15"/>
              </w:rPr>
              <w:t>One summary for each fictional business assumption tested.</w:t>
            </w:r>
          </w:p>
        </w:tc>
      </w:tr>
      <w:tr>
        <w:trPr>
          <w:cantSplit/>
        </w:trPr>
        <w:tc>
          <w:tcPr>
            <w:tcW w:type="dxa" w:w="3096"/>
            <w:vAlign w:val="center"/>
            <w:tcMar>
              <w:top w:w="95" w:type="dxa"/>
              <w:start w:w="110" w:type="dxa"/>
              <w:bottom w:w="95" w:type="dxa"/>
              <w:end w:w="110" w:type="dxa"/>
            </w:tcMar>
          </w:tcPr>
          <w:p>
            <w:pPr>
              <w:spacing w:after="0" w:line="240" w:lineRule="auto"/>
            </w:pPr>
            <w:r>
              <w:rPr>
                <w:rFonts w:ascii="Aptos" w:hAnsi="Aptos"/>
                <w:color w:val="202A33"/>
                <w:sz w:val="15"/>
              </w:rPr>
              <w:t>business_sensitivity</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5"/>
              </w:rPr>
              <w:t>282</w:t>
            </w:r>
          </w:p>
        </w:tc>
        <w:tc>
          <w:tcPr>
            <w:tcW w:type="dxa" w:w="5688"/>
            <w:vAlign w:val="center"/>
            <w:tcMar>
              <w:top w:w="95" w:type="dxa"/>
              <w:start w:w="110" w:type="dxa"/>
              <w:bottom w:w="95" w:type="dxa"/>
              <w:end w:w="110" w:type="dxa"/>
            </w:tcMar>
          </w:tcPr>
          <w:p>
            <w:pPr>
              <w:spacing w:after="0" w:line="240" w:lineRule="auto"/>
            </w:pPr>
            <w:r>
              <w:rPr>
                <w:rFonts w:ascii="Aptos" w:hAnsi="Aptos"/>
                <w:color w:val="202A33"/>
                <w:sz w:val="15"/>
              </w:rPr>
              <w:t>Strategy outcomes across one-at-a-time economic scenarios.</w:t>
            </w:r>
          </w:p>
        </w:tc>
      </w:tr>
      <w:tr>
        <w:trPr>
          <w:cantSplit/>
        </w:trPr>
        <w:tc>
          <w:tcPr>
            <w:tcW w:type="dxa" w:w="309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campaign_holdout_decisions</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296,248</w:t>
            </w:r>
          </w:p>
        </w:tc>
        <w:tc>
          <w:tcPr>
            <w:tcW w:type="dxa" w:w="5688"/>
            <w:vAlign w:val="center"/>
            <w:tcMar>
              <w:top w:w="95" w:type="dxa"/>
              <w:start w:w="110" w:type="dxa"/>
              <w:bottom w:w="95" w:type="dxa"/>
              <w:end w:w="110" w:type="dxa"/>
            </w:tcMar>
            <w:shd w:fill="EAF1F6" w:val="clear"/>
          </w:tcPr>
          <w:p>
            <w:pPr>
              <w:spacing w:after="0" w:line="240" w:lineRule="auto"/>
            </w:pPr>
            <w:r>
              <w:rPr>
                <w:rFonts w:ascii="Aptos" w:hAnsi="Aptos"/>
                <w:color w:val="202A33"/>
                <w:sz w:val="15"/>
              </w:rPr>
              <w:t>74,062 campaign-check events times four strategies.</w:t>
            </w:r>
          </w:p>
        </w:tc>
      </w:tr>
      <w:tr>
        <w:trPr>
          <w:cantSplit/>
        </w:trPr>
        <w:tc>
          <w:tcPr>
            <w:tcW w:type="dxa" w:w="3096"/>
            <w:vAlign w:val="center"/>
            <w:tcMar>
              <w:top w:w="95" w:type="dxa"/>
              <w:start w:w="110" w:type="dxa"/>
              <w:bottom w:w="95" w:type="dxa"/>
              <w:end w:w="110" w:type="dxa"/>
            </w:tcMar>
          </w:tcPr>
          <w:p>
            <w:pPr>
              <w:spacing w:after="0" w:line="240" w:lineRule="auto"/>
            </w:pPr>
            <w:r>
              <w:rPr>
                <w:rFonts w:ascii="Aptos" w:hAnsi="Aptos"/>
                <w:color w:val="202A33"/>
                <w:sz w:val="15"/>
              </w:rPr>
              <w:t>campaign_holdout_metrics</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5"/>
              </w:rPr>
              <w:t>4</w:t>
            </w:r>
          </w:p>
        </w:tc>
        <w:tc>
          <w:tcPr>
            <w:tcW w:type="dxa" w:w="5688"/>
            <w:vAlign w:val="center"/>
            <w:tcMar>
              <w:top w:w="95" w:type="dxa"/>
              <w:start w:w="110" w:type="dxa"/>
              <w:bottom w:w="95" w:type="dxa"/>
              <w:end w:w="110" w:type="dxa"/>
            </w:tcMar>
          </w:tcPr>
          <w:p>
            <w:pPr>
              <w:spacing w:after="0" w:line="240" w:lineRule="auto"/>
            </w:pPr>
            <w:r>
              <w:rPr>
                <w:rFonts w:ascii="Aptos" w:hAnsi="Aptos"/>
                <w:color w:val="202A33"/>
                <w:sz w:val="15"/>
              </w:rPr>
              <w:t>One result per strategy in the single-seed campaign check.</w:t>
            </w:r>
          </w:p>
        </w:tc>
      </w:tr>
      <w:tr>
        <w:trPr>
          <w:cantSplit/>
        </w:trPr>
        <w:tc>
          <w:tcPr>
            <w:tcW w:type="dxa" w:w="309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campaign_stability_by_run</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2</w:t>
            </w:r>
          </w:p>
        </w:tc>
        <w:tc>
          <w:tcPr>
            <w:tcW w:type="dxa" w:w="5688"/>
            <w:vAlign w:val="center"/>
            <w:tcMar>
              <w:top w:w="95" w:type="dxa"/>
              <w:start w:w="110" w:type="dxa"/>
              <w:bottom w:w="95" w:type="dxa"/>
              <w:end w:w="110" w:type="dxa"/>
            </w:tcMar>
            <w:shd w:fill="EAF1F6" w:val="clear"/>
          </w:tcPr>
          <w:p>
            <w:pPr>
              <w:spacing w:after="0" w:line="240" w:lineRule="auto"/>
            </w:pPr>
            <w:r>
              <w:rPr>
                <w:rFonts w:ascii="Aptos" w:hAnsi="Aptos"/>
                <w:color w:val="202A33"/>
                <w:sz w:val="15"/>
              </w:rPr>
              <w:t>Rules and Logistic outcomes in the one campaign-check seed.</w:t>
            </w:r>
          </w:p>
        </w:tc>
      </w:tr>
      <w:tr>
        <w:trPr>
          <w:cantSplit/>
        </w:trPr>
        <w:tc>
          <w:tcPr>
            <w:tcW w:type="dxa" w:w="3096"/>
            <w:vAlign w:val="center"/>
            <w:tcMar>
              <w:top w:w="95" w:type="dxa"/>
              <w:start w:w="110" w:type="dxa"/>
              <w:bottom w:w="95" w:type="dxa"/>
              <w:end w:w="110" w:type="dxa"/>
            </w:tcMar>
          </w:tcPr>
          <w:p>
            <w:pPr>
              <w:spacing w:after="0" w:line="240" w:lineRule="auto"/>
            </w:pPr>
            <w:r>
              <w:rPr>
                <w:rFonts w:ascii="Aptos" w:hAnsi="Aptos"/>
                <w:color w:val="202A33"/>
                <w:sz w:val="15"/>
              </w:rPr>
              <w:t>campaign_stability_comparison</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5"/>
              </w:rPr>
              <w:t>1</w:t>
            </w:r>
          </w:p>
        </w:tc>
        <w:tc>
          <w:tcPr>
            <w:tcW w:type="dxa" w:w="5688"/>
            <w:vAlign w:val="center"/>
            <w:tcMar>
              <w:top w:w="95" w:type="dxa"/>
              <w:start w:w="110" w:type="dxa"/>
              <w:bottom w:w="95" w:type="dxa"/>
              <w:end w:w="110" w:type="dxa"/>
            </w:tcMar>
          </w:tcPr>
          <w:p>
            <w:pPr>
              <w:spacing w:after="0" w:line="240" w:lineRule="auto"/>
            </w:pPr>
            <w:r>
              <w:rPr>
                <w:rFonts w:ascii="Aptos" w:hAnsi="Aptos"/>
                <w:color w:val="202A33"/>
                <w:sz w:val="15"/>
              </w:rPr>
              <w:t>Paired Rules-versus-Logistic campaign-check result.</w:t>
            </w:r>
          </w:p>
        </w:tc>
      </w:tr>
      <w:tr>
        <w:trPr>
          <w:cantSplit/>
        </w:trPr>
        <w:tc>
          <w:tcPr>
            <w:tcW w:type="dxa" w:w="309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campaign_stability_summary</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2</w:t>
            </w:r>
          </w:p>
        </w:tc>
        <w:tc>
          <w:tcPr>
            <w:tcW w:type="dxa" w:w="5688"/>
            <w:vAlign w:val="center"/>
            <w:tcMar>
              <w:top w:w="95" w:type="dxa"/>
              <w:start w:w="110" w:type="dxa"/>
              <w:bottom w:w="95" w:type="dxa"/>
              <w:end w:w="110" w:type="dxa"/>
            </w:tcMar>
            <w:shd w:fill="EAF1F6" w:val="clear"/>
          </w:tcPr>
          <w:p>
            <w:pPr>
              <w:spacing w:after="0" w:line="240" w:lineRule="auto"/>
            </w:pPr>
            <w:r>
              <w:rPr>
                <w:rFonts w:ascii="Aptos" w:hAnsi="Aptos"/>
                <w:color w:val="202A33"/>
                <w:sz w:val="15"/>
              </w:rPr>
              <w:t>Per-strategy campaign-check metrics.</w:t>
            </w:r>
          </w:p>
        </w:tc>
      </w:tr>
      <w:tr>
        <w:trPr>
          <w:cantSplit/>
        </w:trPr>
        <w:tc>
          <w:tcPr>
            <w:tcW w:type="dxa" w:w="3096"/>
            <w:vAlign w:val="center"/>
            <w:tcMar>
              <w:top w:w="95" w:type="dxa"/>
              <w:start w:w="110" w:type="dxa"/>
              <w:bottom w:w="95" w:type="dxa"/>
              <w:end w:w="110" w:type="dxa"/>
            </w:tcMar>
          </w:tcPr>
          <w:p>
            <w:pPr>
              <w:spacing w:after="0" w:line="240" w:lineRule="auto"/>
            </w:pPr>
            <w:r>
              <w:rPr>
                <w:rFonts w:ascii="Aptos" w:hAnsi="Aptos"/>
                <w:color w:val="202A33"/>
                <w:sz w:val="15"/>
              </w:rPr>
              <w:t>capacity_sensitivity</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5"/>
              </w:rPr>
              <w:t>15</w:t>
            </w:r>
          </w:p>
        </w:tc>
        <w:tc>
          <w:tcPr>
            <w:tcW w:type="dxa" w:w="5688"/>
            <w:vAlign w:val="center"/>
            <w:tcMar>
              <w:top w:w="95" w:type="dxa"/>
              <w:start w:w="110" w:type="dxa"/>
              <w:bottom w:w="95" w:type="dxa"/>
              <w:end w:w="110" w:type="dxa"/>
            </w:tcMar>
          </w:tcPr>
          <w:p>
            <w:pPr>
              <w:spacing w:after="0" w:line="240" w:lineRule="auto"/>
            </w:pPr>
            <w:r>
              <w:rPr>
                <w:rFonts w:ascii="Aptos" w:hAnsi="Aptos"/>
                <w:color w:val="202A33"/>
                <w:sz w:val="15"/>
              </w:rPr>
              <w:t>Strategy outcomes at five review-capacity settings.</w:t>
            </w:r>
          </w:p>
        </w:tc>
      </w:tr>
      <w:tr>
        <w:trPr>
          <w:cantSplit/>
        </w:trPr>
        <w:tc>
          <w:tcPr>
            <w:tcW w:type="dxa" w:w="309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customers</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2,000</w:t>
            </w:r>
          </w:p>
        </w:tc>
        <w:tc>
          <w:tcPr>
            <w:tcW w:type="dxa" w:w="5688"/>
            <w:vAlign w:val="center"/>
            <w:tcMar>
              <w:top w:w="95" w:type="dxa"/>
              <w:start w:w="110" w:type="dxa"/>
              <w:bottom w:w="95" w:type="dxa"/>
              <w:end w:w="110" w:type="dxa"/>
            </w:tcMar>
            <w:shd w:fill="EAF1F6" w:val="clear"/>
          </w:tcPr>
          <w:p>
            <w:pPr>
              <w:spacing w:after="0" w:line="240" w:lineRule="auto"/>
            </w:pPr>
            <w:r>
              <w:rPr>
                <w:rFonts w:ascii="Aptos" w:hAnsi="Aptos"/>
                <w:color w:val="202A33"/>
                <w:sz w:val="15"/>
              </w:rPr>
              <w:t>Fictional customer profile and segment.</w:t>
            </w:r>
          </w:p>
        </w:tc>
      </w:tr>
      <w:tr>
        <w:trPr>
          <w:cantSplit/>
        </w:trPr>
        <w:tc>
          <w:tcPr>
            <w:tcW w:type="dxa" w:w="3096"/>
            <w:vAlign w:val="center"/>
            <w:tcMar>
              <w:top w:w="95" w:type="dxa"/>
              <w:start w:w="110" w:type="dxa"/>
              <w:bottom w:w="95" w:type="dxa"/>
              <w:end w:w="110" w:type="dxa"/>
            </w:tcMar>
          </w:tcPr>
          <w:p>
            <w:pPr>
              <w:spacing w:after="0" w:line="240" w:lineRule="auto"/>
            </w:pPr>
            <w:r>
              <w:rPr>
                <w:rFonts w:ascii="Aptos" w:hAnsi="Aptos"/>
                <w:color w:val="202A33"/>
                <w:sz w:val="15"/>
              </w:rPr>
              <w:t>daily_monitoring</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5"/>
              </w:rPr>
              <w:t>60</w:t>
            </w:r>
          </w:p>
        </w:tc>
        <w:tc>
          <w:tcPr>
            <w:tcW w:type="dxa" w:w="5688"/>
            <w:vAlign w:val="center"/>
            <w:tcMar>
              <w:top w:w="95" w:type="dxa"/>
              <w:start w:w="110" w:type="dxa"/>
              <w:bottom w:w="95" w:type="dxa"/>
              <w:end w:w="110" w:type="dxa"/>
            </w:tcMar>
          </w:tcPr>
          <w:p>
            <w:pPr>
              <w:spacing w:after="0" w:line="240" w:lineRule="auto"/>
            </w:pPr>
            <w:r>
              <w:rPr>
                <w:rFonts w:ascii="Aptos" w:hAnsi="Aptos"/>
                <w:color w:val="202A33"/>
                <w:sz w:val="15"/>
              </w:rPr>
              <w:t>One day of label-free operating signals.</w:t>
            </w:r>
          </w:p>
        </w:tc>
      </w:tr>
      <w:tr>
        <w:trPr>
          <w:cantSplit/>
        </w:trPr>
        <w:tc>
          <w:tcPr>
            <w:tcW w:type="dxa" w:w="309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economic_sensitivity</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24</w:t>
            </w:r>
          </w:p>
        </w:tc>
        <w:tc>
          <w:tcPr>
            <w:tcW w:type="dxa" w:w="5688"/>
            <w:vAlign w:val="center"/>
            <w:tcMar>
              <w:top w:w="95" w:type="dxa"/>
              <w:start w:w="110" w:type="dxa"/>
              <w:bottom w:w="95" w:type="dxa"/>
              <w:end w:w="110" w:type="dxa"/>
            </w:tcMar>
            <w:shd w:fill="EAF1F6" w:val="clear"/>
          </w:tcPr>
          <w:p>
            <w:pPr>
              <w:spacing w:after="0" w:line="240" w:lineRule="auto"/>
            </w:pPr>
            <w:r>
              <w:rPr>
                <w:rFonts w:ascii="Aptos" w:hAnsi="Aptos"/>
                <w:color w:val="202A33"/>
                <w:sz w:val="15"/>
              </w:rPr>
              <w:t>Four strategies under six economic assumptions.</w:t>
            </w:r>
          </w:p>
        </w:tc>
      </w:tr>
      <w:tr>
        <w:trPr>
          <w:cantSplit/>
        </w:trPr>
        <w:tc>
          <w:tcPr>
            <w:tcW w:type="dxa" w:w="3096"/>
            <w:vAlign w:val="center"/>
            <w:tcMar>
              <w:top w:w="95" w:type="dxa"/>
              <w:start w:w="110" w:type="dxa"/>
              <w:bottom w:w="95" w:type="dxa"/>
              <w:end w:w="110" w:type="dxa"/>
            </w:tcMar>
          </w:tcPr>
          <w:p>
            <w:pPr>
              <w:spacing w:after="0" w:line="240" w:lineRule="auto"/>
            </w:pPr>
            <w:r>
              <w:rPr>
                <w:rFonts w:ascii="Aptos" w:hAnsi="Aptos"/>
                <w:color w:val="202A33"/>
                <w:sz w:val="15"/>
              </w:rPr>
              <w:t>fraud_ground_truth</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5"/>
              </w:rPr>
              <w:t>700</w:t>
            </w:r>
          </w:p>
        </w:tc>
        <w:tc>
          <w:tcPr>
            <w:tcW w:type="dxa" w:w="5688"/>
            <w:vAlign w:val="center"/>
            <w:tcMar>
              <w:top w:w="95" w:type="dxa"/>
              <w:start w:w="110" w:type="dxa"/>
              <w:bottom w:w="95" w:type="dxa"/>
              <w:end w:w="110" w:type="dxa"/>
            </w:tcMar>
          </w:tcPr>
          <w:p>
            <w:pPr>
              <w:spacing w:after="0" w:line="240" w:lineRule="auto"/>
            </w:pPr>
            <w:r>
              <w:rPr>
                <w:rFonts w:ascii="Aptos" w:hAnsi="Aptos"/>
                <w:color w:val="202A33"/>
                <w:sz w:val="15"/>
              </w:rPr>
              <w:t>Separate synthetic labels for offline evaluation only.</w:t>
            </w:r>
          </w:p>
        </w:tc>
      </w:tr>
      <w:tr>
        <w:trPr>
          <w:cantSplit/>
        </w:trPr>
        <w:tc>
          <w:tcPr>
            <w:tcW w:type="dxa" w:w="309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evaluation_design</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2</w:t>
            </w:r>
          </w:p>
        </w:tc>
        <w:tc>
          <w:tcPr>
            <w:tcW w:type="dxa" w:w="5688"/>
            <w:vAlign w:val="center"/>
            <w:tcMar>
              <w:top w:w="95" w:type="dxa"/>
              <w:start w:w="110" w:type="dxa"/>
              <w:bottom w:w="95" w:type="dxa"/>
              <w:end w:w="110" w:type="dxa"/>
            </w:tcMar>
            <w:shd w:fill="EAF1F6" w:val="clear"/>
          </w:tcPr>
          <w:p>
            <w:pPr>
              <w:spacing w:after="0" w:line="240" w:lineRule="auto"/>
            </w:pPr>
            <w:r>
              <w:rPr>
                <w:rFonts w:ascii="Aptos" w:hAnsi="Aptos"/>
                <w:color w:val="202A33"/>
                <w:sz w:val="15"/>
              </w:rPr>
              <w:t>Fit, validation, and holdout partitions in the default seed.</w:t>
            </w:r>
          </w:p>
        </w:tc>
      </w:tr>
      <w:tr>
        <w:trPr>
          <w:cantSplit/>
        </w:trPr>
        <w:tc>
          <w:tcPr>
            <w:tcW w:type="dxa" w:w="3096"/>
            <w:vAlign w:val="center"/>
            <w:tcMar>
              <w:top w:w="95" w:type="dxa"/>
              <w:start w:w="110" w:type="dxa"/>
              <w:bottom w:w="95" w:type="dxa"/>
              <w:end w:w="110" w:type="dxa"/>
            </w:tcMar>
          </w:tcPr>
          <w:p>
            <w:pPr>
              <w:spacing w:after="0" w:line="240" w:lineRule="auto"/>
            </w:pPr>
            <w:r>
              <w:rPr>
                <w:rFonts w:ascii="Aptos" w:hAnsi="Aptos"/>
                <w:color w:val="202A33"/>
                <w:sz w:val="15"/>
              </w:rPr>
              <w:t>impact_by_customer_group</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5"/>
              </w:rPr>
              <w:t>40</w:t>
            </w:r>
          </w:p>
        </w:tc>
        <w:tc>
          <w:tcPr>
            <w:tcW w:type="dxa" w:w="5688"/>
            <w:vAlign w:val="center"/>
            <w:tcMar>
              <w:top w:w="95" w:type="dxa"/>
              <w:start w:w="110" w:type="dxa"/>
              <w:bottom w:w="95" w:type="dxa"/>
              <w:end w:w="110" w:type="dxa"/>
            </w:tcMar>
          </w:tcPr>
          <w:p>
            <w:pPr>
              <w:spacing w:after="0" w:line="240" w:lineRule="auto"/>
            </w:pPr>
            <w:r>
              <w:rPr>
                <w:rFonts w:ascii="Aptos" w:hAnsi="Aptos"/>
                <w:color w:val="202A33"/>
                <w:sz w:val="15"/>
              </w:rPr>
              <w:t>Held-out outcomes grouped by strategy and customer descriptor.</w:t>
            </w:r>
          </w:p>
        </w:tc>
      </w:tr>
      <w:tr>
        <w:trPr>
          <w:cantSplit/>
        </w:trPr>
        <w:tc>
          <w:tcPr>
            <w:tcW w:type="dxa" w:w="309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merchants</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800</w:t>
            </w:r>
          </w:p>
        </w:tc>
        <w:tc>
          <w:tcPr>
            <w:tcW w:type="dxa" w:w="5688"/>
            <w:vAlign w:val="center"/>
            <w:tcMar>
              <w:top w:w="95" w:type="dxa"/>
              <w:start w:w="110" w:type="dxa"/>
              <w:bottom w:w="95" w:type="dxa"/>
              <w:end w:w="110" w:type="dxa"/>
            </w:tcMar>
            <w:shd w:fill="EAF1F6" w:val="clear"/>
          </w:tcPr>
          <w:p>
            <w:pPr>
              <w:spacing w:after="0" w:line="240" w:lineRule="auto"/>
            </w:pPr>
            <w:r>
              <w:rPr>
                <w:rFonts w:ascii="Aptos" w:hAnsi="Aptos"/>
                <w:color w:val="202A33"/>
                <w:sz w:val="15"/>
              </w:rPr>
              <w:t>Fictional business endpoint owner, category, and region.</w:t>
            </w:r>
          </w:p>
        </w:tc>
      </w:tr>
      <w:tr>
        <w:trPr>
          <w:cantSplit/>
        </w:trPr>
        <w:tc>
          <w:tcPr>
            <w:tcW w:type="dxa" w:w="3096"/>
            <w:vAlign w:val="center"/>
            <w:tcMar>
              <w:top w:w="95" w:type="dxa"/>
              <w:start w:w="110" w:type="dxa"/>
              <w:bottom w:w="95" w:type="dxa"/>
              <w:end w:w="110" w:type="dxa"/>
            </w:tcMar>
          </w:tcPr>
          <w:p>
            <w:pPr>
              <w:spacing w:after="0" w:line="240" w:lineRule="auto"/>
            </w:pPr>
            <w:r>
              <w:rPr>
                <w:rFonts w:ascii="Aptos" w:hAnsi="Aptos"/>
                <w:color w:val="202A33"/>
                <w:sz w:val="15"/>
              </w:rPr>
              <w:t>model_coefficients</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5"/>
              </w:rPr>
              <w:t>12</w:t>
            </w:r>
          </w:p>
        </w:tc>
        <w:tc>
          <w:tcPr>
            <w:tcW w:type="dxa" w:w="5688"/>
            <w:vAlign w:val="center"/>
            <w:tcMar>
              <w:top w:w="95" w:type="dxa"/>
              <w:start w:w="110" w:type="dxa"/>
              <w:bottom w:w="95" w:type="dxa"/>
              <w:end w:w="110" w:type="dxa"/>
            </w:tcMar>
          </w:tcPr>
          <w:p>
            <w:pPr>
              <w:spacing w:after="0" w:line="240" w:lineRule="auto"/>
            </w:pPr>
            <w:r>
              <w:rPr>
                <w:rFonts w:ascii="Aptos" w:hAnsi="Aptos"/>
                <w:color w:val="202A33"/>
                <w:sz w:val="15"/>
              </w:rPr>
              <w:t>One coefficient per numeric model feature.</w:t>
            </w:r>
          </w:p>
        </w:tc>
      </w:tr>
      <w:tr>
        <w:trPr>
          <w:cantSplit/>
        </w:trPr>
        <w:tc>
          <w:tcPr>
            <w:tcW w:type="dxa" w:w="309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scenario_surface</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120</w:t>
            </w:r>
          </w:p>
        </w:tc>
        <w:tc>
          <w:tcPr>
            <w:tcW w:type="dxa" w:w="5688"/>
            <w:vAlign w:val="center"/>
            <w:tcMar>
              <w:top w:w="95" w:type="dxa"/>
              <w:start w:w="110" w:type="dxa"/>
              <w:bottom w:w="95" w:type="dxa"/>
              <w:end w:w="110" w:type="dxa"/>
            </w:tcMar>
            <w:shd w:fill="EAF1F6" w:val="clear"/>
          </w:tcPr>
          <w:p>
            <w:pPr>
              <w:spacing w:after="0" w:line="240" w:lineRule="auto"/>
            </w:pPr>
            <w:r>
              <w:rPr>
                <w:rFonts w:ascii="Aptos" w:hAnsi="Aptos"/>
                <w:color w:val="202A33"/>
                <w:sz w:val="15"/>
              </w:rPr>
              <w:t>Strategies across capacity and economic assumption combinations.</w:t>
            </w:r>
          </w:p>
        </w:tc>
      </w:tr>
      <w:tr>
        <w:trPr>
          <w:cantSplit/>
        </w:trPr>
        <w:tc>
          <w:tcPr>
            <w:tcW w:type="dxa" w:w="3096"/>
            <w:vAlign w:val="center"/>
            <w:tcMar>
              <w:top w:w="95" w:type="dxa"/>
              <w:start w:w="110" w:type="dxa"/>
              <w:bottom w:w="95" w:type="dxa"/>
              <w:end w:w="110" w:type="dxa"/>
            </w:tcMar>
          </w:tcPr>
          <w:p>
            <w:pPr>
              <w:spacing w:after="0" w:line="240" w:lineRule="auto"/>
            </w:pPr>
            <w:r>
              <w:rPr>
                <w:rFonts w:ascii="Aptos" w:hAnsi="Aptos"/>
                <w:color w:val="202A33"/>
                <w:sz w:val="15"/>
              </w:rPr>
              <w:t>seed_stability_by_run</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5"/>
              </w:rPr>
              <w:t>60</w:t>
            </w:r>
          </w:p>
        </w:tc>
        <w:tc>
          <w:tcPr>
            <w:tcW w:type="dxa" w:w="5688"/>
            <w:vAlign w:val="center"/>
            <w:tcMar>
              <w:top w:w="95" w:type="dxa"/>
              <w:start w:w="110" w:type="dxa"/>
              <w:bottom w:w="95" w:type="dxa"/>
              <w:end w:w="110" w:type="dxa"/>
            </w:tcMar>
          </w:tcPr>
          <w:p>
            <w:pPr>
              <w:spacing w:after="0" w:line="240" w:lineRule="auto"/>
            </w:pPr>
            <w:r>
              <w:rPr>
                <w:rFonts w:ascii="Aptos" w:hAnsi="Aptos"/>
                <w:color w:val="202A33"/>
                <w:sz w:val="15"/>
              </w:rPr>
              <w:t>Rules and Logistic metrics for each of 30 seeds.</w:t>
            </w:r>
          </w:p>
        </w:tc>
      </w:tr>
      <w:tr>
        <w:trPr>
          <w:cantSplit/>
        </w:trPr>
        <w:tc>
          <w:tcPr>
            <w:tcW w:type="dxa" w:w="309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seed_stability_comparison</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1</w:t>
            </w:r>
          </w:p>
        </w:tc>
        <w:tc>
          <w:tcPr>
            <w:tcW w:type="dxa" w:w="5688"/>
            <w:vAlign w:val="center"/>
            <w:tcMar>
              <w:top w:w="95" w:type="dxa"/>
              <w:start w:w="110" w:type="dxa"/>
              <w:bottom w:w="95" w:type="dxa"/>
              <w:end w:w="110" w:type="dxa"/>
            </w:tcMar>
            <w:shd w:fill="EAF1F6" w:val="clear"/>
          </w:tcPr>
          <w:p>
            <w:pPr>
              <w:spacing w:after="0" w:line="240" w:lineRule="auto"/>
            </w:pPr>
            <w:r>
              <w:rPr>
                <w:rFonts w:ascii="Aptos" w:hAnsi="Aptos"/>
                <w:color w:val="202A33"/>
                <w:sz w:val="15"/>
              </w:rPr>
              <w:t>Paired Logistic-minus-Rules ranges and cost win count.</w:t>
            </w:r>
          </w:p>
        </w:tc>
      </w:tr>
      <w:tr>
        <w:trPr>
          <w:cantSplit/>
        </w:trPr>
        <w:tc>
          <w:tcPr>
            <w:tcW w:type="dxa" w:w="3096"/>
            <w:vAlign w:val="center"/>
            <w:tcMar>
              <w:top w:w="95" w:type="dxa"/>
              <w:start w:w="110" w:type="dxa"/>
              <w:bottom w:w="95" w:type="dxa"/>
              <w:end w:w="110" w:type="dxa"/>
            </w:tcMar>
          </w:tcPr>
          <w:p>
            <w:pPr>
              <w:spacing w:after="0" w:line="240" w:lineRule="auto"/>
            </w:pPr>
            <w:r>
              <w:rPr>
                <w:rFonts w:ascii="Aptos" w:hAnsi="Aptos"/>
                <w:color w:val="202A33"/>
                <w:sz w:val="15"/>
              </w:rPr>
              <w:t>seed_stability_summary</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5"/>
              </w:rPr>
              <w:t>2</w:t>
            </w:r>
          </w:p>
        </w:tc>
        <w:tc>
          <w:tcPr>
            <w:tcW w:type="dxa" w:w="5688"/>
            <w:vAlign w:val="center"/>
            <w:tcMar>
              <w:top w:w="95" w:type="dxa"/>
              <w:start w:w="110" w:type="dxa"/>
              <w:bottom w:w="95" w:type="dxa"/>
              <w:end w:w="110" w:type="dxa"/>
            </w:tcMar>
          </w:tcPr>
          <w:p>
            <w:pPr>
              <w:spacing w:after="0" w:line="240" w:lineRule="auto"/>
            </w:pPr>
            <w:r>
              <w:rPr>
                <w:rFonts w:ascii="Aptos" w:hAnsi="Aptos"/>
                <w:color w:val="202A33"/>
                <w:sz w:val="15"/>
              </w:rPr>
              <w:t>Per-strategy means, medians, and observed ranges.</w:t>
            </w:r>
          </w:p>
        </w:tc>
      </w:tr>
      <w:tr>
        <w:trPr>
          <w:cantSplit/>
        </w:trPr>
        <w:tc>
          <w:tcPr>
            <w:tcW w:type="dxa" w:w="309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strategy_metrics</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4</w:t>
            </w:r>
          </w:p>
        </w:tc>
        <w:tc>
          <w:tcPr>
            <w:tcW w:type="dxa" w:w="5688"/>
            <w:vAlign w:val="center"/>
            <w:tcMar>
              <w:top w:w="95" w:type="dxa"/>
              <w:start w:w="110" w:type="dxa"/>
              <w:bottom w:w="95" w:type="dxa"/>
              <w:end w:w="110" w:type="dxa"/>
            </w:tcMar>
            <w:shd w:fill="EAF1F6" w:val="clear"/>
          </w:tcPr>
          <w:p>
            <w:pPr>
              <w:spacing w:after="0" w:line="240" w:lineRule="auto"/>
            </w:pPr>
            <w:r>
              <w:rPr>
                <w:rFonts w:ascii="Aptos" w:hAnsi="Aptos"/>
                <w:color w:val="202A33"/>
                <w:sz w:val="15"/>
              </w:rPr>
              <w:t>One held-out summary per strategy.</w:t>
            </w:r>
          </w:p>
        </w:tc>
      </w:tr>
      <w:tr>
        <w:trPr>
          <w:cantSplit/>
        </w:trPr>
        <w:tc>
          <w:tcPr>
            <w:tcW w:type="dxa" w:w="3096"/>
            <w:vAlign w:val="center"/>
            <w:tcMar>
              <w:top w:w="95" w:type="dxa"/>
              <w:start w:w="110" w:type="dxa"/>
              <w:bottom w:w="95" w:type="dxa"/>
              <w:end w:w="110" w:type="dxa"/>
            </w:tcMar>
          </w:tcPr>
          <w:p>
            <w:pPr>
              <w:spacing w:after="0" w:line="240" w:lineRule="auto"/>
            </w:pPr>
            <w:r>
              <w:rPr>
                <w:rFonts w:ascii="Aptos" w:hAnsi="Aptos"/>
                <w:color w:val="202A33"/>
                <w:sz w:val="15"/>
              </w:rPr>
              <w:t>terminal_network_summary</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5"/>
              </w:rPr>
              <w:t>1,200</w:t>
            </w:r>
          </w:p>
        </w:tc>
        <w:tc>
          <w:tcPr>
            <w:tcW w:type="dxa" w:w="5688"/>
            <w:vAlign w:val="center"/>
            <w:tcMar>
              <w:top w:w="95" w:type="dxa"/>
              <w:start w:w="110" w:type="dxa"/>
              <w:bottom w:w="95" w:type="dxa"/>
              <w:end w:w="110" w:type="dxa"/>
            </w:tcMar>
          </w:tcPr>
          <w:p>
            <w:pPr>
              <w:spacing w:after="0" w:line="240" w:lineRule="auto"/>
            </w:pPr>
            <w:r>
              <w:rPr>
                <w:rFonts w:ascii="Aptos" w:hAnsi="Aptos"/>
                <w:color w:val="202A33"/>
                <w:sz w:val="15"/>
              </w:rPr>
              <w:t>Endpoint connectivity over the complete event history.</w:t>
            </w:r>
          </w:p>
        </w:tc>
      </w:tr>
      <w:tr>
        <w:trPr>
          <w:cantSplit/>
        </w:trPr>
        <w:tc>
          <w:tcPr>
            <w:tcW w:type="dxa" w:w="309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terminals</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1,200</w:t>
            </w:r>
          </w:p>
        </w:tc>
        <w:tc>
          <w:tcPr>
            <w:tcW w:type="dxa" w:w="5688"/>
            <w:vAlign w:val="center"/>
            <w:tcMar>
              <w:top w:w="95" w:type="dxa"/>
              <w:start w:w="110" w:type="dxa"/>
              <w:bottom w:w="95" w:type="dxa"/>
              <w:end w:w="110" w:type="dxa"/>
            </w:tcMar>
            <w:shd w:fill="EAF1F6" w:val="clear"/>
          </w:tcPr>
          <w:p>
            <w:pPr>
              <w:spacing w:after="0" w:line="240" w:lineRule="auto"/>
            </w:pPr>
            <w:r>
              <w:rPr>
                <w:rFonts w:ascii="Aptos" w:hAnsi="Aptos"/>
                <w:color w:val="202A33"/>
                <w:sz w:val="15"/>
              </w:rPr>
              <w:t>Endpoint with merchant ownership and region.</w:t>
            </w:r>
          </w:p>
        </w:tc>
      </w:tr>
      <w:tr>
        <w:trPr>
          <w:cantSplit/>
        </w:trPr>
        <w:tc>
          <w:tcPr>
            <w:tcW w:type="dxa" w:w="3096"/>
            <w:vAlign w:val="center"/>
            <w:tcMar>
              <w:top w:w="95" w:type="dxa"/>
              <w:start w:w="110" w:type="dxa"/>
              <w:bottom w:w="95" w:type="dxa"/>
              <w:end w:w="110" w:type="dxa"/>
            </w:tcMar>
          </w:tcPr>
          <w:p>
            <w:pPr>
              <w:spacing w:after="0" w:line="240" w:lineRule="auto"/>
            </w:pPr>
            <w:r>
              <w:rPr>
                <w:rFonts w:ascii="Aptos" w:hAnsi="Aptos"/>
                <w:color w:val="202A33"/>
                <w:sz w:val="15"/>
              </w:rPr>
              <w:t>test_decisions</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5"/>
              </w:rPr>
              <w:t>296,948</w:t>
            </w:r>
          </w:p>
        </w:tc>
        <w:tc>
          <w:tcPr>
            <w:tcW w:type="dxa" w:w="5688"/>
            <w:vAlign w:val="center"/>
            <w:tcMar>
              <w:top w:w="95" w:type="dxa"/>
              <w:start w:w="110" w:type="dxa"/>
              <w:bottom w:w="95" w:type="dxa"/>
              <w:end w:w="110" w:type="dxa"/>
            </w:tcMar>
          </w:tcPr>
          <w:p>
            <w:pPr>
              <w:spacing w:after="0" w:line="240" w:lineRule="auto"/>
            </w:pPr>
            <w:r>
              <w:rPr>
                <w:rFonts w:ascii="Aptos" w:hAnsi="Aptos"/>
                <w:color w:val="202A33"/>
                <w:sz w:val="15"/>
              </w:rPr>
              <w:t>74,237 default-seed holdout events times four strategies.</w:t>
            </w:r>
          </w:p>
        </w:tc>
      </w:tr>
      <w:tr>
        <w:trPr>
          <w:cantSplit/>
        </w:trPr>
        <w:tc>
          <w:tcPr>
            <w:tcW w:type="dxa" w:w="309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transactions</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246,314</w:t>
            </w:r>
          </w:p>
        </w:tc>
        <w:tc>
          <w:tcPr>
            <w:tcW w:type="dxa" w:w="5688"/>
            <w:vAlign w:val="center"/>
            <w:tcMar>
              <w:top w:w="95" w:type="dxa"/>
              <w:start w:w="110" w:type="dxa"/>
              <w:bottom w:w="95" w:type="dxa"/>
              <w:end w:w="110" w:type="dxa"/>
            </w:tcMar>
            <w:shd w:fill="EAF1F6" w:val="clear"/>
          </w:tcPr>
          <w:p>
            <w:pPr>
              <w:spacing w:after="0" w:line="240" w:lineRule="auto"/>
            </w:pPr>
            <w:r>
              <w:rPr>
                <w:rFonts w:ascii="Aptos" w:hAnsi="Aptos"/>
                <w:color w:val="202A33"/>
                <w:sz w:val="15"/>
              </w:rPr>
              <w:t>Raw synthetic event record, before derived features.</w:t>
            </w:r>
          </w:p>
        </w:tc>
      </w:tr>
      <w:tr>
        <w:trPr>
          <w:cantSplit/>
        </w:trPr>
        <w:tc>
          <w:tcPr>
            <w:tcW w:type="dxa" w:w="3096"/>
            <w:vAlign w:val="center"/>
            <w:tcMar>
              <w:top w:w="95" w:type="dxa"/>
              <w:start w:w="110" w:type="dxa"/>
              <w:bottom w:w="95" w:type="dxa"/>
              <w:end w:w="110" w:type="dxa"/>
            </w:tcMar>
          </w:tcPr>
          <w:p>
            <w:pPr>
              <w:spacing w:after="0" w:line="240" w:lineRule="auto"/>
            </w:pPr>
            <w:r>
              <w:rPr>
                <w:rFonts w:ascii="Aptos" w:hAnsi="Aptos"/>
                <w:color w:val="202A33"/>
                <w:sz w:val="15"/>
              </w:rPr>
              <w:t>typology_metrics</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5"/>
              </w:rPr>
              <w:t>16</w:t>
            </w:r>
          </w:p>
        </w:tc>
        <w:tc>
          <w:tcPr>
            <w:tcW w:type="dxa" w:w="5688"/>
            <w:vAlign w:val="center"/>
            <w:tcMar>
              <w:top w:w="95" w:type="dxa"/>
              <w:start w:w="110" w:type="dxa"/>
              <w:bottom w:w="95" w:type="dxa"/>
              <w:end w:w="110" w:type="dxa"/>
            </w:tcMar>
          </w:tcPr>
          <w:p>
            <w:pPr>
              <w:spacing w:after="0" w:line="240" w:lineRule="auto"/>
            </w:pPr>
            <w:r>
              <w:rPr>
                <w:rFonts w:ascii="Aptos" w:hAnsi="Aptos"/>
                <w:color w:val="202A33"/>
                <w:sz w:val="15"/>
              </w:rPr>
              <w:t>Four strategy summaries by four fraud typologies.</w:t>
            </w:r>
          </w:p>
        </w:tc>
      </w:tr>
    </w:tbl>
    <w:p>
      <w:pPr>
        <w:spacing w:after="40"/>
      </w:pPr>
    </w:p>
    <w:p>
      <w:pPr>
        <w:pStyle w:val="Heading2"/>
        <w:keepNext/>
        <w:spacing w:before="160" w:after="100"/>
      </w:pPr>
      <w:r>
        <w:rPr>
          <w:rFonts w:ascii="Aptos" w:hAnsi="Aptos"/>
          <w:b/>
          <w:color w:val="000000"/>
          <w:sz w:val="25"/>
        </w:rPr>
        <w:t>Important transaction fields</w:t>
      </w:r>
    </w:p>
    <w:tbl>
      <w:tblPr>
        <w:tblW w:type="auto" w:w="0"/>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W w:w="9936" w:type="dxa"/>
      </w:tblPr>
      <w:tblGrid>
        <w:gridCol w:w="1728"/>
        <w:gridCol w:w="3816"/>
        <w:gridCol w:w="4392"/>
      </w:tblGrid>
      <w:tr>
        <w:trPr>
          <w:tblHeader w:val="true"/>
          <w:cantSplit/>
        </w:trPr>
        <w:tc>
          <w:tcPr>
            <w:tcW w:type="dxa" w:w="1728"/>
            <w:vAlign w:val="center"/>
            <w:shd w:fill="18364D" w:val="clear"/>
            <w:tcMar>
              <w:top w:w="95" w:type="dxa"/>
              <w:start w:w="110" w:type="dxa"/>
              <w:bottom w:w="95" w:type="dxa"/>
              <w:end w:w="110" w:type="dxa"/>
            </w:tcMar>
          </w:tcPr>
          <w:p>
            <w:pPr>
              <w:spacing w:after="0" w:line="240" w:lineRule="auto"/>
            </w:pPr>
            <w:r>
              <w:rPr>
                <w:rFonts w:ascii="Aptos" w:hAnsi="Aptos"/>
                <w:b/>
                <w:color w:val="FFFFFF"/>
                <w:sz w:val="16"/>
              </w:rPr>
              <w:t>Field group</w:t>
            </w:r>
          </w:p>
        </w:tc>
        <w:tc>
          <w:tcPr>
            <w:tcW w:type="dxa" w:w="3816"/>
            <w:vAlign w:val="center"/>
            <w:shd w:fill="18364D" w:val="clear"/>
            <w:tcMar>
              <w:top w:w="95" w:type="dxa"/>
              <w:start w:w="110" w:type="dxa"/>
              <w:bottom w:w="95" w:type="dxa"/>
              <w:end w:w="110" w:type="dxa"/>
            </w:tcMar>
          </w:tcPr>
          <w:p>
            <w:pPr>
              <w:spacing w:after="0" w:line="240" w:lineRule="auto"/>
            </w:pPr>
            <w:r>
              <w:rPr>
                <w:rFonts w:ascii="Aptos" w:hAnsi="Aptos"/>
                <w:b/>
                <w:color w:val="FFFFFF"/>
                <w:sz w:val="16"/>
              </w:rPr>
              <w:t>Fields</w:t>
            </w:r>
          </w:p>
        </w:tc>
        <w:tc>
          <w:tcPr>
            <w:tcW w:type="dxa" w:w="4392"/>
            <w:vAlign w:val="center"/>
            <w:shd w:fill="18364D" w:val="clear"/>
            <w:tcMar>
              <w:top w:w="95" w:type="dxa"/>
              <w:start w:w="110" w:type="dxa"/>
              <w:bottom w:w="95" w:type="dxa"/>
              <w:end w:w="110" w:type="dxa"/>
            </w:tcMar>
          </w:tcPr>
          <w:p>
            <w:pPr>
              <w:spacing w:after="0" w:line="240" w:lineRule="auto"/>
            </w:pPr>
            <w:r>
              <w:rPr>
                <w:rFonts w:ascii="Aptos" w:hAnsi="Aptos"/>
                <w:b/>
                <w:color w:val="FFFFFF"/>
                <w:sz w:val="16"/>
              </w:rPr>
              <w:t>How to interpret them</w:t>
            </w:r>
          </w:p>
        </w:tc>
      </w:tr>
      <w:tr>
        <w:trPr>
          <w:cantSplit/>
        </w:trPr>
        <w:tc>
          <w:tcPr>
            <w:tcW w:type="dxa" w:w="1728"/>
            <w:vAlign w:val="center"/>
            <w:tcMar>
              <w:top w:w="95" w:type="dxa"/>
              <w:start w:w="110" w:type="dxa"/>
              <w:bottom w:w="95" w:type="dxa"/>
              <w:end w:w="110" w:type="dxa"/>
            </w:tcMar>
          </w:tcPr>
          <w:p>
            <w:pPr>
              <w:spacing w:after="0" w:line="240" w:lineRule="auto"/>
            </w:pPr>
            <w:r>
              <w:rPr>
                <w:rFonts w:ascii="Aptos" w:hAnsi="Aptos"/>
                <w:color w:val="202A33"/>
                <w:sz w:val="16"/>
              </w:rPr>
              <w:t>Identifiers</w:t>
            </w:r>
          </w:p>
        </w:tc>
        <w:tc>
          <w:tcPr>
            <w:tcW w:type="dxa" w:w="3816"/>
            <w:vAlign w:val="center"/>
            <w:tcMar>
              <w:top w:w="95" w:type="dxa"/>
              <w:start w:w="110" w:type="dxa"/>
              <w:bottom w:w="95" w:type="dxa"/>
              <w:end w:w="110" w:type="dxa"/>
            </w:tcMar>
          </w:tcPr>
          <w:p>
            <w:pPr>
              <w:spacing w:after="0" w:line="240" w:lineRule="auto"/>
            </w:pPr>
            <w:r>
              <w:rPr>
                <w:rFonts w:ascii="Aptos" w:hAnsi="Aptos"/>
                <w:color w:val="202A33"/>
                <w:sz w:val="16"/>
              </w:rPr>
              <w:t>Transaction_ID, Customer_ID, Account_ID</w:t>
            </w:r>
          </w:p>
        </w:tc>
        <w:tc>
          <w:tcPr>
            <w:tcW w:type="dxa" w:w="4392"/>
            <w:vAlign w:val="center"/>
            <w:tcMar>
              <w:top w:w="95" w:type="dxa"/>
              <w:start w:w="110" w:type="dxa"/>
              <w:bottom w:w="95" w:type="dxa"/>
              <w:end w:w="110" w:type="dxa"/>
            </w:tcMar>
          </w:tcPr>
          <w:p>
            <w:pPr>
              <w:spacing w:after="0" w:line="240" w:lineRule="auto"/>
            </w:pPr>
            <w:r>
              <w:rPr>
                <w:rFonts w:ascii="Aptos" w:hAnsi="Aptos"/>
                <w:color w:val="202A33"/>
                <w:sz w:val="16"/>
              </w:rPr>
              <w:t>Stable synthetic IDs; transaction ID is the join key for offline labels.</w:t>
            </w:r>
          </w:p>
        </w:tc>
      </w:tr>
      <w:tr>
        <w:trPr>
          <w:cantSplit/>
        </w:trPr>
        <w:tc>
          <w:tcPr>
            <w:tcW w:type="dxa" w:w="1728"/>
            <w:vAlign w:val="center"/>
            <w:tcMar>
              <w:top w:w="95" w:type="dxa"/>
              <w:start w:w="110" w:type="dxa"/>
              <w:bottom w:w="95" w:type="dxa"/>
              <w:end w:w="110" w:type="dxa"/>
            </w:tcMar>
            <w:shd w:fill="EAF1F6" w:val="clear"/>
          </w:tcPr>
          <w:p>
            <w:pPr>
              <w:spacing w:after="0" w:line="240" w:lineRule="auto"/>
            </w:pPr>
            <w:r>
              <w:rPr>
                <w:rFonts w:ascii="Aptos" w:hAnsi="Aptos"/>
                <w:color w:val="202A33"/>
                <w:sz w:val="16"/>
              </w:rPr>
              <w:t>Time</w:t>
            </w:r>
          </w:p>
        </w:tc>
        <w:tc>
          <w:tcPr>
            <w:tcW w:type="dxa" w:w="3816"/>
            <w:vAlign w:val="center"/>
            <w:tcMar>
              <w:top w:w="95" w:type="dxa"/>
              <w:start w:w="110" w:type="dxa"/>
              <w:bottom w:w="95" w:type="dxa"/>
              <w:end w:w="110" w:type="dxa"/>
            </w:tcMar>
            <w:shd w:fill="EAF1F6" w:val="clear"/>
          </w:tcPr>
          <w:p>
            <w:pPr>
              <w:spacing w:after="0" w:line="240" w:lineRule="auto"/>
            </w:pPr>
            <w:r>
              <w:rPr>
                <w:rFonts w:ascii="Aptos" w:hAnsi="Aptos"/>
                <w:color w:val="202A33"/>
                <w:sz w:val="16"/>
              </w:rPr>
              <w:t>Timestamp</w:t>
            </w:r>
          </w:p>
        </w:tc>
        <w:tc>
          <w:tcPr>
            <w:tcW w:type="dxa" w:w="4392"/>
            <w:vAlign w:val="center"/>
            <w:tcMar>
              <w:top w:w="95" w:type="dxa"/>
              <w:start w:w="110" w:type="dxa"/>
              <w:bottom w:w="95" w:type="dxa"/>
              <w:end w:w="110" w:type="dxa"/>
            </w:tcMar>
            <w:shd w:fill="EAF1F6" w:val="clear"/>
          </w:tcPr>
          <w:p>
            <w:pPr>
              <w:spacing w:after="0" w:line="240" w:lineRule="auto"/>
            </w:pPr>
            <w:r>
              <w:rPr>
                <w:rFonts w:ascii="Aptos" w:hAnsi="Aptos"/>
                <w:color w:val="202A33"/>
                <w:sz w:val="16"/>
              </w:rPr>
              <w:t>Synthetic event time; stored without a timezone offset.</w:t>
            </w:r>
          </w:p>
        </w:tc>
      </w:tr>
      <w:tr>
        <w:trPr>
          <w:cantSplit/>
        </w:trPr>
        <w:tc>
          <w:tcPr>
            <w:tcW w:type="dxa" w:w="1728"/>
            <w:vAlign w:val="center"/>
            <w:tcMar>
              <w:top w:w="95" w:type="dxa"/>
              <w:start w:w="110" w:type="dxa"/>
              <w:bottom w:w="95" w:type="dxa"/>
              <w:end w:w="110" w:type="dxa"/>
            </w:tcMar>
          </w:tcPr>
          <w:p>
            <w:pPr>
              <w:spacing w:after="0" w:line="240" w:lineRule="auto"/>
            </w:pPr>
            <w:r>
              <w:rPr>
                <w:rFonts w:ascii="Aptos" w:hAnsi="Aptos"/>
                <w:color w:val="202A33"/>
                <w:sz w:val="16"/>
              </w:rPr>
              <w:t>Network</w:t>
            </w:r>
          </w:p>
        </w:tc>
        <w:tc>
          <w:tcPr>
            <w:tcW w:type="dxa" w:w="3816"/>
            <w:vAlign w:val="center"/>
            <w:tcMar>
              <w:top w:w="95" w:type="dxa"/>
              <w:start w:w="110" w:type="dxa"/>
              <w:bottom w:w="95" w:type="dxa"/>
              <w:end w:w="110" w:type="dxa"/>
            </w:tcMar>
          </w:tcPr>
          <w:p>
            <w:pPr>
              <w:spacing w:after="0" w:line="240" w:lineRule="auto"/>
            </w:pPr>
            <w:r>
              <w:rPr>
                <w:rFonts w:ascii="Aptos" w:hAnsi="Aptos"/>
                <w:color w:val="202A33"/>
                <w:sz w:val="16"/>
              </w:rPr>
              <w:t>Merchant_ID, Terminal_ID</w:t>
            </w:r>
          </w:p>
        </w:tc>
        <w:tc>
          <w:tcPr>
            <w:tcW w:type="dxa" w:w="4392"/>
            <w:vAlign w:val="center"/>
            <w:tcMar>
              <w:top w:w="95" w:type="dxa"/>
              <w:start w:w="110" w:type="dxa"/>
              <w:bottom w:w="95" w:type="dxa"/>
              <w:end w:w="110" w:type="dxa"/>
            </w:tcMar>
          </w:tcPr>
          <w:p>
            <w:pPr>
              <w:spacing w:after="0" w:line="240" w:lineRule="auto"/>
            </w:pPr>
            <w:r>
              <w:rPr>
                <w:rFonts w:ascii="Aptos" w:hAnsi="Aptos"/>
                <w:color w:val="202A33"/>
                <w:sz w:val="16"/>
              </w:rPr>
              <w:t>The terminal belongs to a merchant; repeated customer-terminal pairs show familiarity.</w:t>
            </w:r>
          </w:p>
        </w:tc>
      </w:tr>
      <w:tr>
        <w:trPr>
          <w:cantSplit/>
        </w:trPr>
        <w:tc>
          <w:tcPr>
            <w:tcW w:type="dxa" w:w="1728"/>
            <w:vAlign w:val="center"/>
            <w:tcMar>
              <w:top w:w="95" w:type="dxa"/>
              <w:start w:w="110" w:type="dxa"/>
              <w:bottom w:w="95" w:type="dxa"/>
              <w:end w:w="110" w:type="dxa"/>
            </w:tcMar>
            <w:shd w:fill="EAF1F6" w:val="clear"/>
          </w:tcPr>
          <w:p>
            <w:pPr>
              <w:spacing w:after="0" w:line="240" w:lineRule="auto"/>
            </w:pPr>
            <w:r>
              <w:rPr>
                <w:rFonts w:ascii="Aptos" w:hAnsi="Aptos"/>
                <w:color w:val="202A33"/>
                <w:sz w:val="16"/>
              </w:rPr>
              <w:t>Context</w:t>
            </w:r>
          </w:p>
        </w:tc>
        <w:tc>
          <w:tcPr>
            <w:tcW w:type="dxa" w:w="3816"/>
            <w:vAlign w:val="center"/>
            <w:tcMar>
              <w:top w:w="95" w:type="dxa"/>
              <w:start w:w="110" w:type="dxa"/>
              <w:bottom w:w="95" w:type="dxa"/>
              <w:end w:w="110" w:type="dxa"/>
            </w:tcMar>
            <w:shd w:fill="EAF1F6" w:val="clear"/>
          </w:tcPr>
          <w:p>
            <w:pPr>
              <w:spacing w:after="0" w:line="240" w:lineRule="auto"/>
            </w:pPr>
            <w:r>
              <w:rPr>
                <w:rFonts w:ascii="Aptos" w:hAnsi="Aptos"/>
                <w:color w:val="202A33"/>
                <w:sz w:val="16"/>
              </w:rPr>
              <w:t>Customer_Region, Merchant_Region, Channel, Auth_Type, Auth_Result</w:t>
            </w:r>
          </w:p>
        </w:tc>
        <w:tc>
          <w:tcPr>
            <w:tcW w:type="dxa" w:w="4392"/>
            <w:vAlign w:val="center"/>
            <w:tcMar>
              <w:top w:w="95" w:type="dxa"/>
              <w:start w:w="110" w:type="dxa"/>
              <w:bottom w:w="95" w:type="dxa"/>
              <w:end w:w="110" w:type="dxa"/>
            </w:tcMar>
            <w:shd w:fill="EAF1F6" w:val="clear"/>
          </w:tcPr>
          <w:p>
            <w:pPr>
              <w:spacing w:after="0" w:line="240" w:lineRule="auto"/>
            </w:pPr>
            <w:r>
              <w:rPr>
                <w:rFonts w:ascii="Aptos" w:hAnsi="Aptos"/>
                <w:color w:val="202A33"/>
                <w:sz w:val="16"/>
              </w:rPr>
              <w:t>Observable transaction context used by investigations and selected features.</w:t>
            </w:r>
          </w:p>
        </w:tc>
      </w:tr>
      <w:tr>
        <w:trPr>
          <w:cantSplit/>
        </w:trPr>
        <w:tc>
          <w:tcPr>
            <w:tcW w:type="dxa" w:w="1728"/>
            <w:vAlign w:val="center"/>
            <w:tcMar>
              <w:top w:w="95" w:type="dxa"/>
              <w:start w:w="110" w:type="dxa"/>
              <w:bottom w:w="95" w:type="dxa"/>
              <w:end w:w="110" w:type="dxa"/>
            </w:tcMar>
          </w:tcPr>
          <w:p>
            <w:pPr>
              <w:spacing w:after="0" w:line="240" w:lineRule="auto"/>
            </w:pPr>
            <w:r>
              <w:rPr>
                <w:rFonts w:ascii="Aptos" w:hAnsi="Aptos"/>
                <w:color w:val="202A33"/>
                <w:sz w:val="16"/>
              </w:rPr>
              <w:t>Value and baseline</w:t>
            </w:r>
          </w:p>
        </w:tc>
        <w:tc>
          <w:tcPr>
            <w:tcW w:type="dxa" w:w="3816"/>
            <w:vAlign w:val="center"/>
            <w:tcMar>
              <w:top w:w="95" w:type="dxa"/>
              <w:start w:w="110" w:type="dxa"/>
              <w:bottom w:w="95" w:type="dxa"/>
              <w:end w:w="110" w:type="dxa"/>
            </w:tcMar>
          </w:tcPr>
          <w:p>
            <w:pPr>
              <w:spacing w:after="0" w:line="240" w:lineRule="auto"/>
            </w:pPr>
            <w:r>
              <w:rPr>
                <w:rFonts w:ascii="Aptos" w:hAnsi="Aptos"/>
                <w:color w:val="202A33"/>
                <w:sz w:val="16"/>
              </w:rPr>
              <w:t>Amount, Currency, Incumbent_Decision</w:t>
            </w:r>
          </w:p>
        </w:tc>
        <w:tc>
          <w:tcPr>
            <w:tcW w:type="dxa" w:w="4392"/>
            <w:vAlign w:val="center"/>
            <w:tcMar>
              <w:top w:w="95" w:type="dxa"/>
              <w:start w:w="110" w:type="dxa"/>
              <w:bottom w:w="95" w:type="dxa"/>
              <w:end w:w="110" w:type="dxa"/>
            </w:tcMar>
          </w:tcPr>
          <w:p>
            <w:pPr>
              <w:spacing w:after="0" w:line="240" w:lineRule="auto"/>
            </w:pPr>
            <w:r>
              <w:rPr>
                <w:rFonts w:ascii="Aptos" w:hAnsi="Aptos"/>
                <w:color w:val="202A33"/>
                <w:sz w:val="16"/>
              </w:rPr>
              <w:t>Synthetic amount in USD and a simple pre-existing action for comparison.</w:t>
            </w:r>
          </w:p>
        </w:tc>
      </w:tr>
    </w:tbl>
    <w:p>
      <w:pPr>
        <w:spacing w:after="40"/>
      </w:pPr>
    </w:p>
    <w:p>
      <w:pPr>
        <w:keepLines w:val="0"/>
        <w:spacing w:after="120" w:before="0" w:line="259" w:lineRule="auto"/>
      </w:pPr>
      <w:r>
        <w:rPr>
          <w:rFonts w:ascii="Aptos" w:hAnsi="Aptos"/>
          <w:color w:val="202A33"/>
          <w:sz w:val="20"/>
        </w:rPr>
        <w:t>data/synthetic/customers.csv is the recovered 20-customer seed sample. data/synthetic/run/customers.csv belongs to the full 2,000-customer run. Use the latter when interpreting the published project output.</w:t>
      </w:r>
    </w:p>
    <w:p>
      <w:pPr>
        <w:pStyle w:val="Heading1"/>
        <w:keepNext/>
        <w:spacing w:before="240" w:after="100"/>
      </w:pPr>
      <w:r>
        <w:rPr>
          <w:rFonts w:ascii="Aptos" w:hAnsi="Aptos"/>
          <w:b/>
          <w:color w:val="000000"/>
          <w:sz w:val="34"/>
        </w:rPr>
        <w:t>7  Point-in-Time Features and Leakage Controls</w:t>
      </w:r>
    </w:p>
    <w:p>
      <w:pPr>
        <w:keepLines w:val="0"/>
        <w:spacing w:after="120" w:before="0" w:line="259" w:lineRule="auto"/>
      </w:pPr>
      <w:r>
        <w:rPr>
          <w:rFonts w:ascii="Aptos" w:hAnsi="Aptos"/>
          <w:color w:val="202A33"/>
          <w:sz w:val="20"/>
        </w:rPr>
        <w:t>A feature is information the policy or model can observe when a transaction arrives. TrustHold sorts events by timestamp and transaction ID, calculates each row's historical context, and only then adds the current event to its history. This ordering prevents the event from increasing its own prior count.</w:t>
      </w:r>
    </w:p>
    <w:tbl>
      <w:tblPr>
        <w:tblW w:type="auto" w:w="0"/>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W w:w="9936" w:type="dxa"/>
      </w:tblPr>
      <w:tblGrid>
        <w:gridCol w:w="2880"/>
        <w:gridCol w:w="3816"/>
        <w:gridCol w:w="3240"/>
      </w:tblGrid>
      <w:tr>
        <w:trPr>
          <w:tblHeader w:val="true"/>
          <w:cantSplit/>
        </w:trPr>
        <w:tc>
          <w:tcPr>
            <w:tcW w:type="dxa" w:w="2880"/>
            <w:vAlign w:val="center"/>
            <w:shd w:fill="18364D" w:val="clear"/>
            <w:tcMar>
              <w:top w:w="95" w:type="dxa"/>
              <w:start w:w="110" w:type="dxa"/>
              <w:bottom w:w="95" w:type="dxa"/>
              <w:end w:w="110" w:type="dxa"/>
            </w:tcMar>
          </w:tcPr>
          <w:p>
            <w:pPr>
              <w:spacing w:after="0" w:line="240" w:lineRule="auto"/>
            </w:pPr>
            <w:r>
              <w:rPr>
                <w:rFonts w:ascii="Aptos" w:hAnsi="Aptos"/>
                <w:b/>
                <w:color w:val="FFFFFF"/>
                <w:sz w:val="15"/>
              </w:rPr>
              <w:t>Feature</w:t>
            </w:r>
          </w:p>
        </w:tc>
        <w:tc>
          <w:tcPr>
            <w:tcW w:type="dxa" w:w="3816"/>
            <w:vAlign w:val="center"/>
            <w:shd w:fill="18364D" w:val="clear"/>
            <w:tcMar>
              <w:top w:w="95" w:type="dxa"/>
              <w:start w:w="110" w:type="dxa"/>
              <w:bottom w:w="95" w:type="dxa"/>
              <w:end w:w="110" w:type="dxa"/>
            </w:tcMar>
          </w:tcPr>
          <w:p>
            <w:pPr>
              <w:spacing w:after="0" w:line="240" w:lineRule="auto"/>
            </w:pPr>
            <w:r>
              <w:rPr>
                <w:rFonts w:ascii="Aptos" w:hAnsi="Aptos"/>
                <w:b/>
                <w:color w:val="FFFFFF"/>
                <w:sz w:val="15"/>
              </w:rPr>
              <w:t>Construction</w:t>
            </w:r>
          </w:p>
        </w:tc>
        <w:tc>
          <w:tcPr>
            <w:tcW w:type="dxa" w:w="3240"/>
            <w:vAlign w:val="center"/>
            <w:shd w:fill="18364D" w:val="clear"/>
            <w:tcMar>
              <w:top w:w="95" w:type="dxa"/>
              <w:start w:w="110" w:type="dxa"/>
              <w:bottom w:w="95" w:type="dxa"/>
              <w:end w:w="110" w:type="dxa"/>
            </w:tcMar>
          </w:tcPr>
          <w:p>
            <w:pPr>
              <w:spacing w:after="0" w:line="240" w:lineRule="auto"/>
            </w:pPr>
            <w:r>
              <w:rPr>
                <w:rFonts w:ascii="Aptos" w:hAnsi="Aptos"/>
                <w:b/>
                <w:color w:val="FFFFFF"/>
                <w:sz w:val="15"/>
              </w:rPr>
              <w:t>Why it may help</w:t>
            </w:r>
          </w:p>
        </w:tc>
      </w:tr>
      <w:tr>
        <w:trPr>
          <w:cantSplit/>
        </w:trPr>
        <w:tc>
          <w:tcPr>
            <w:tcW w:type="dxa" w:w="2880"/>
            <w:vAlign w:val="center"/>
            <w:tcMar>
              <w:top w:w="95" w:type="dxa"/>
              <w:start w:w="110" w:type="dxa"/>
              <w:bottom w:w="95" w:type="dxa"/>
              <w:end w:w="110" w:type="dxa"/>
            </w:tcMar>
          </w:tcPr>
          <w:p>
            <w:pPr>
              <w:spacing w:after="0" w:line="240" w:lineRule="auto"/>
            </w:pPr>
            <w:r>
              <w:rPr>
                <w:rFonts w:ascii="Aptos" w:hAnsi="Aptos"/>
                <w:color w:val="202A33"/>
                <w:sz w:val="15"/>
              </w:rPr>
              <w:t>Amount_To_Typical_Spend</w:t>
            </w:r>
          </w:p>
        </w:tc>
        <w:tc>
          <w:tcPr>
            <w:tcW w:type="dxa" w:w="3816"/>
            <w:vAlign w:val="center"/>
            <w:tcMar>
              <w:top w:w="95" w:type="dxa"/>
              <w:start w:w="110" w:type="dxa"/>
              <w:bottom w:w="95" w:type="dxa"/>
              <w:end w:w="110" w:type="dxa"/>
            </w:tcMar>
          </w:tcPr>
          <w:p>
            <w:pPr>
              <w:spacing w:after="0" w:line="240" w:lineRule="auto"/>
            </w:pPr>
            <w:r>
              <w:rPr>
                <w:rFonts w:ascii="Aptos" w:hAnsi="Aptos"/>
                <w:color w:val="202A33"/>
                <w:sz w:val="15"/>
              </w:rPr>
              <w:t>Current amount divided by the customer's profile spend.</w:t>
            </w:r>
          </w:p>
        </w:tc>
        <w:tc>
          <w:tcPr>
            <w:tcW w:type="dxa" w:w="3240"/>
            <w:vAlign w:val="center"/>
            <w:tcMar>
              <w:top w:w="95" w:type="dxa"/>
              <w:start w:w="110" w:type="dxa"/>
              <w:bottom w:w="95" w:type="dxa"/>
              <w:end w:w="110" w:type="dxa"/>
            </w:tcMar>
          </w:tcPr>
          <w:p>
            <w:pPr>
              <w:spacing w:after="0" w:line="240" w:lineRule="auto"/>
            </w:pPr>
            <w:r>
              <w:rPr>
                <w:rFonts w:ascii="Aptos" w:hAnsi="Aptos"/>
                <w:color w:val="202A33"/>
                <w:sz w:val="15"/>
              </w:rPr>
              <w:t>Find unusually large purchases for that person.</w:t>
            </w:r>
          </w:p>
        </w:tc>
      </w:tr>
      <w:tr>
        <w:trPr>
          <w:cantSplit/>
        </w:trPr>
        <w:tc>
          <w:tcPr>
            <w:tcW w:type="dxa" w:w="2880"/>
            <w:vAlign w:val="center"/>
            <w:tcMar>
              <w:top w:w="95" w:type="dxa"/>
              <w:start w:w="110" w:type="dxa"/>
              <w:bottom w:w="95" w:type="dxa"/>
              <w:end w:w="110" w:type="dxa"/>
            </w:tcMar>
            <w:shd w:fill="EAF1F6" w:val="clear"/>
          </w:tcPr>
          <w:p>
            <w:pPr>
              <w:spacing w:after="0" w:line="240" w:lineRule="auto"/>
            </w:pPr>
            <w:r>
              <w:rPr>
                <w:rFonts w:ascii="Aptos" w:hAnsi="Aptos"/>
                <w:color w:val="202A33"/>
                <w:sz w:val="15"/>
              </w:rPr>
              <w:t>Tx_Count_Prior_24h</w:t>
            </w:r>
          </w:p>
        </w:tc>
        <w:tc>
          <w:tcPr>
            <w:tcW w:type="dxa" w:w="381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Earlier customer events in the rolling 24-hour window.</w:t>
            </w:r>
          </w:p>
        </w:tc>
        <w:tc>
          <w:tcPr>
            <w:tcW w:type="dxa" w:w="3240"/>
            <w:vAlign w:val="center"/>
            <w:tcMar>
              <w:top w:w="95" w:type="dxa"/>
              <w:start w:w="110" w:type="dxa"/>
              <w:bottom w:w="95" w:type="dxa"/>
              <w:end w:w="110" w:type="dxa"/>
            </w:tcMar>
            <w:shd w:fill="EAF1F6" w:val="clear"/>
          </w:tcPr>
          <w:p>
            <w:pPr>
              <w:spacing w:after="0" w:line="240" w:lineRule="auto"/>
            </w:pPr>
            <w:r>
              <w:rPr>
                <w:rFonts w:ascii="Aptos" w:hAnsi="Aptos"/>
                <w:color w:val="202A33"/>
                <w:sz w:val="15"/>
              </w:rPr>
              <w:t>Find sudden activity bursts.</w:t>
            </w:r>
          </w:p>
        </w:tc>
      </w:tr>
      <w:tr>
        <w:trPr>
          <w:cantSplit/>
        </w:trPr>
        <w:tc>
          <w:tcPr>
            <w:tcW w:type="dxa" w:w="2880"/>
            <w:vAlign w:val="center"/>
            <w:tcMar>
              <w:top w:w="95" w:type="dxa"/>
              <w:start w:w="110" w:type="dxa"/>
              <w:bottom w:w="95" w:type="dxa"/>
              <w:end w:w="110" w:type="dxa"/>
            </w:tcMar>
          </w:tcPr>
          <w:p>
            <w:pPr>
              <w:spacing w:after="0" w:line="240" w:lineRule="auto"/>
            </w:pPr>
            <w:r>
              <w:rPr>
                <w:rFonts w:ascii="Aptos" w:hAnsi="Aptos"/>
                <w:color w:val="202A33"/>
                <w:sz w:val="15"/>
              </w:rPr>
              <w:t>Terminal_Prior_Tx_Count</w:t>
            </w:r>
          </w:p>
        </w:tc>
        <w:tc>
          <w:tcPr>
            <w:tcW w:type="dxa" w:w="3816"/>
            <w:vAlign w:val="center"/>
            <w:tcMar>
              <w:top w:w="95" w:type="dxa"/>
              <w:start w:w="110" w:type="dxa"/>
              <w:bottom w:w="95" w:type="dxa"/>
              <w:end w:w="110" w:type="dxa"/>
            </w:tcMar>
          </w:tcPr>
          <w:p>
            <w:pPr>
              <w:spacing w:after="0" w:line="240" w:lineRule="auto"/>
            </w:pPr>
            <w:r>
              <w:rPr>
                <w:rFonts w:ascii="Aptos" w:hAnsi="Aptos"/>
                <w:color w:val="202A33"/>
                <w:sz w:val="15"/>
              </w:rPr>
              <w:t>Earlier events at the terminal.</w:t>
            </w:r>
          </w:p>
        </w:tc>
        <w:tc>
          <w:tcPr>
            <w:tcW w:type="dxa" w:w="3240"/>
            <w:vAlign w:val="center"/>
            <w:tcMar>
              <w:top w:w="95" w:type="dxa"/>
              <w:start w:w="110" w:type="dxa"/>
              <w:bottom w:w="95" w:type="dxa"/>
              <w:end w:w="110" w:type="dxa"/>
            </w:tcMar>
          </w:tcPr>
          <w:p>
            <w:pPr>
              <w:spacing w:after="0" w:line="240" w:lineRule="auto"/>
            </w:pPr>
            <w:r>
              <w:rPr>
                <w:rFonts w:ascii="Aptos" w:hAnsi="Aptos"/>
                <w:color w:val="202A33"/>
                <w:sz w:val="15"/>
              </w:rPr>
              <w:t>Describe endpoint activity volume.</w:t>
            </w:r>
          </w:p>
        </w:tc>
      </w:tr>
      <w:tr>
        <w:trPr>
          <w:cantSplit/>
        </w:trPr>
        <w:tc>
          <w:tcPr>
            <w:tcW w:type="dxa" w:w="2880"/>
            <w:vAlign w:val="center"/>
            <w:tcMar>
              <w:top w:w="95" w:type="dxa"/>
              <w:start w:w="110" w:type="dxa"/>
              <w:bottom w:w="95" w:type="dxa"/>
              <w:end w:w="110" w:type="dxa"/>
            </w:tcMar>
            <w:shd w:fill="EAF1F6" w:val="clear"/>
          </w:tcPr>
          <w:p>
            <w:pPr>
              <w:spacing w:after="0" w:line="240" w:lineRule="auto"/>
            </w:pPr>
            <w:r>
              <w:rPr>
                <w:rFonts w:ascii="Aptos" w:hAnsi="Aptos"/>
                <w:color w:val="202A33"/>
                <w:sz w:val="15"/>
              </w:rPr>
              <w:t>Terminal_Prior_Distinct_Customers</w:t>
            </w:r>
          </w:p>
        </w:tc>
        <w:tc>
          <w:tcPr>
            <w:tcW w:type="dxa" w:w="381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Earlier distinct customers at the terminal.</w:t>
            </w:r>
          </w:p>
        </w:tc>
        <w:tc>
          <w:tcPr>
            <w:tcW w:type="dxa" w:w="3240"/>
            <w:vAlign w:val="center"/>
            <w:tcMar>
              <w:top w:w="95" w:type="dxa"/>
              <w:start w:w="110" w:type="dxa"/>
              <w:bottom w:w="95" w:type="dxa"/>
              <w:end w:w="110" w:type="dxa"/>
            </w:tcMar>
            <w:shd w:fill="EAF1F6" w:val="clear"/>
          </w:tcPr>
          <w:p>
            <w:pPr>
              <w:spacing w:after="0" w:line="240" w:lineRule="auto"/>
            </w:pPr>
            <w:r>
              <w:rPr>
                <w:rFonts w:ascii="Aptos" w:hAnsi="Aptos"/>
                <w:color w:val="202A33"/>
                <w:sz w:val="15"/>
              </w:rPr>
              <w:t>Find endpoints used across many customer profiles.</w:t>
            </w:r>
          </w:p>
        </w:tc>
      </w:tr>
      <w:tr>
        <w:trPr>
          <w:cantSplit/>
        </w:trPr>
        <w:tc>
          <w:tcPr>
            <w:tcW w:type="dxa" w:w="2880"/>
            <w:vAlign w:val="center"/>
            <w:tcMar>
              <w:top w:w="95" w:type="dxa"/>
              <w:start w:w="110" w:type="dxa"/>
              <w:bottom w:w="95" w:type="dxa"/>
              <w:end w:w="110" w:type="dxa"/>
            </w:tcMar>
          </w:tcPr>
          <w:p>
            <w:pPr>
              <w:spacing w:after="0" w:line="240" w:lineRule="auto"/>
            </w:pPr>
            <w:r>
              <w:rPr>
                <w:rFonts w:ascii="Aptos" w:hAnsi="Aptos"/>
                <w:color w:val="202A33"/>
                <w:sz w:val="15"/>
              </w:rPr>
              <w:t>Customer_Terminal_Prior_Count</w:t>
            </w:r>
          </w:p>
        </w:tc>
        <w:tc>
          <w:tcPr>
            <w:tcW w:type="dxa" w:w="3816"/>
            <w:vAlign w:val="center"/>
            <w:tcMar>
              <w:top w:w="95" w:type="dxa"/>
              <w:start w:w="110" w:type="dxa"/>
              <w:bottom w:w="95" w:type="dxa"/>
              <w:end w:w="110" w:type="dxa"/>
            </w:tcMar>
          </w:tcPr>
          <w:p>
            <w:pPr>
              <w:spacing w:after="0" w:line="240" w:lineRule="auto"/>
            </w:pPr>
            <w:r>
              <w:rPr>
                <w:rFonts w:ascii="Aptos" w:hAnsi="Aptos"/>
                <w:color w:val="202A33"/>
                <w:sz w:val="15"/>
              </w:rPr>
              <w:t>Earlier uses of the same customer-terminal pair.</w:t>
            </w:r>
          </w:p>
        </w:tc>
        <w:tc>
          <w:tcPr>
            <w:tcW w:type="dxa" w:w="3240"/>
            <w:vAlign w:val="center"/>
            <w:tcMar>
              <w:top w:w="95" w:type="dxa"/>
              <w:start w:w="110" w:type="dxa"/>
              <w:bottom w:w="95" w:type="dxa"/>
              <w:end w:w="110" w:type="dxa"/>
            </w:tcMar>
          </w:tcPr>
          <w:p>
            <w:pPr>
              <w:spacing w:after="0" w:line="240" w:lineRule="auto"/>
            </w:pPr>
            <w:r>
              <w:rPr>
                <w:rFonts w:ascii="Aptos" w:hAnsi="Aptos"/>
                <w:color w:val="202A33"/>
                <w:sz w:val="15"/>
              </w:rPr>
              <w:t>Separate familiar from first-seen endpoint pairs.</w:t>
            </w:r>
          </w:p>
        </w:tc>
      </w:tr>
      <w:tr>
        <w:trPr>
          <w:cantSplit/>
        </w:trPr>
        <w:tc>
          <w:tcPr>
            <w:tcW w:type="dxa" w:w="2880"/>
            <w:vAlign w:val="center"/>
            <w:tcMar>
              <w:top w:w="95" w:type="dxa"/>
              <w:start w:w="110" w:type="dxa"/>
              <w:bottom w:w="95" w:type="dxa"/>
              <w:end w:w="110" w:type="dxa"/>
            </w:tcMar>
            <w:shd w:fill="EAF1F6" w:val="clear"/>
          </w:tcPr>
          <w:p>
            <w:pPr>
              <w:spacing w:after="0" w:line="240" w:lineRule="auto"/>
            </w:pPr>
            <w:r>
              <w:rPr>
                <w:rFonts w:ascii="Aptos" w:hAnsi="Aptos"/>
                <w:color w:val="202A33"/>
                <w:sz w:val="15"/>
              </w:rPr>
              <w:t>Is_Night / Is_Weekend</w:t>
            </w:r>
          </w:p>
        </w:tc>
        <w:tc>
          <w:tcPr>
            <w:tcW w:type="dxa" w:w="381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Flags from event timestamp.</w:t>
            </w:r>
          </w:p>
        </w:tc>
        <w:tc>
          <w:tcPr>
            <w:tcW w:type="dxa" w:w="3240"/>
            <w:vAlign w:val="center"/>
            <w:tcMar>
              <w:top w:w="95" w:type="dxa"/>
              <w:start w:w="110" w:type="dxa"/>
              <w:bottom w:w="95" w:type="dxa"/>
              <w:end w:w="110" w:type="dxa"/>
            </w:tcMar>
            <w:shd w:fill="EAF1F6" w:val="clear"/>
          </w:tcPr>
          <w:p>
            <w:pPr>
              <w:spacing w:after="0" w:line="240" w:lineRule="auto"/>
            </w:pPr>
            <w:r>
              <w:rPr>
                <w:rFonts w:ascii="Aptos" w:hAnsi="Aptos"/>
                <w:color w:val="202A33"/>
                <w:sz w:val="15"/>
              </w:rPr>
              <w:t>Describe timing context.</w:t>
            </w:r>
          </w:p>
        </w:tc>
      </w:tr>
      <w:tr>
        <w:trPr>
          <w:cantSplit/>
        </w:trPr>
        <w:tc>
          <w:tcPr>
            <w:tcW w:type="dxa" w:w="2880"/>
            <w:vAlign w:val="center"/>
            <w:tcMar>
              <w:top w:w="95" w:type="dxa"/>
              <w:start w:w="110" w:type="dxa"/>
              <w:bottom w:w="95" w:type="dxa"/>
              <w:end w:w="110" w:type="dxa"/>
            </w:tcMar>
          </w:tcPr>
          <w:p>
            <w:pPr>
              <w:spacing w:after="0" w:line="240" w:lineRule="auto"/>
            </w:pPr>
            <w:r>
              <w:rPr>
                <w:rFonts w:ascii="Aptos" w:hAnsi="Aptos"/>
                <w:color w:val="202A33"/>
                <w:sz w:val="15"/>
              </w:rPr>
              <w:t>Auth_Soft_Decline</w:t>
            </w:r>
          </w:p>
        </w:tc>
        <w:tc>
          <w:tcPr>
            <w:tcW w:type="dxa" w:w="3816"/>
            <w:vAlign w:val="center"/>
            <w:tcMar>
              <w:top w:w="95" w:type="dxa"/>
              <w:start w:w="110" w:type="dxa"/>
              <w:bottom w:w="95" w:type="dxa"/>
              <w:end w:w="110" w:type="dxa"/>
            </w:tcMar>
          </w:tcPr>
          <w:p>
            <w:pPr>
              <w:spacing w:after="0" w:line="240" w:lineRule="auto"/>
            </w:pPr>
            <w:r>
              <w:rPr>
                <w:rFonts w:ascii="Aptos" w:hAnsi="Aptos"/>
                <w:color w:val="202A33"/>
                <w:sz w:val="15"/>
              </w:rPr>
              <w:t>Current event's soft-decline result.</w:t>
            </w:r>
          </w:p>
        </w:tc>
        <w:tc>
          <w:tcPr>
            <w:tcW w:type="dxa" w:w="3240"/>
            <w:vAlign w:val="center"/>
            <w:tcMar>
              <w:top w:w="95" w:type="dxa"/>
              <w:start w:w="110" w:type="dxa"/>
              <w:bottom w:w="95" w:type="dxa"/>
              <w:end w:w="110" w:type="dxa"/>
            </w:tcMar>
          </w:tcPr>
          <w:p>
            <w:pPr>
              <w:spacing w:after="0" w:line="240" w:lineRule="auto"/>
            </w:pPr>
            <w:r>
              <w:rPr>
                <w:rFonts w:ascii="Aptos" w:hAnsi="Aptos"/>
                <w:color w:val="202A33"/>
                <w:sz w:val="15"/>
              </w:rPr>
              <w:t>Describe authentication outcome.</w:t>
            </w:r>
          </w:p>
        </w:tc>
      </w:tr>
      <w:tr>
        <w:trPr>
          <w:cantSplit/>
        </w:trPr>
        <w:tc>
          <w:tcPr>
            <w:tcW w:type="dxa" w:w="2880"/>
            <w:vAlign w:val="center"/>
            <w:tcMar>
              <w:top w:w="95" w:type="dxa"/>
              <w:start w:w="110" w:type="dxa"/>
              <w:bottom w:w="95" w:type="dxa"/>
              <w:end w:w="110" w:type="dxa"/>
            </w:tcMar>
            <w:shd w:fill="EAF1F6" w:val="clear"/>
          </w:tcPr>
          <w:p>
            <w:pPr>
              <w:spacing w:after="0" w:line="240" w:lineRule="auto"/>
            </w:pPr>
            <w:r>
              <w:rPr>
                <w:rFonts w:ascii="Aptos" w:hAnsi="Aptos"/>
                <w:color w:val="202A33"/>
                <w:sz w:val="15"/>
              </w:rPr>
              <w:t>Is_Ecommerce / Is_Magstripe / Is_Mobile_Wallet</w:t>
            </w:r>
          </w:p>
        </w:tc>
        <w:tc>
          <w:tcPr>
            <w:tcW w:type="dxa" w:w="381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Flags from channel and authentication type.</w:t>
            </w:r>
          </w:p>
        </w:tc>
        <w:tc>
          <w:tcPr>
            <w:tcW w:type="dxa" w:w="3240"/>
            <w:vAlign w:val="center"/>
            <w:tcMar>
              <w:top w:w="95" w:type="dxa"/>
              <w:start w:w="110" w:type="dxa"/>
              <w:bottom w:w="95" w:type="dxa"/>
              <w:end w:w="110" w:type="dxa"/>
            </w:tcMar>
            <w:shd w:fill="EAF1F6" w:val="clear"/>
          </w:tcPr>
          <w:p>
            <w:pPr>
              <w:spacing w:after="0" w:line="240" w:lineRule="auto"/>
            </w:pPr>
            <w:r>
              <w:rPr>
                <w:rFonts w:ascii="Aptos" w:hAnsi="Aptos"/>
                <w:color w:val="202A33"/>
                <w:sz w:val="15"/>
              </w:rPr>
              <w:t>Represent selected channel/authentication context.</w:t>
            </w:r>
          </w:p>
        </w:tc>
      </w:tr>
      <w:tr>
        <w:trPr>
          <w:cantSplit/>
        </w:trPr>
        <w:tc>
          <w:tcPr>
            <w:tcW w:type="dxa" w:w="2880"/>
            <w:vAlign w:val="center"/>
            <w:tcMar>
              <w:top w:w="95" w:type="dxa"/>
              <w:start w:w="110" w:type="dxa"/>
              <w:bottom w:w="95" w:type="dxa"/>
              <w:end w:w="110" w:type="dxa"/>
            </w:tcMar>
          </w:tcPr>
          <w:p>
            <w:pPr>
              <w:spacing w:after="0" w:line="240" w:lineRule="auto"/>
            </w:pPr>
            <w:r>
              <w:rPr>
                <w:rFonts w:ascii="Aptos" w:hAnsi="Aptos"/>
                <w:color w:val="202A33"/>
                <w:sz w:val="15"/>
              </w:rPr>
              <w:t>Region_Mismatch</w:t>
            </w:r>
          </w:p>
        </w:tc>
        <w:tc>
          <w:tcPr>
            <w:tcW w:type="dxa" w:w="3816"/>
            <w:vAlign w:val="center"/>
            <w:tcMar>
              <w:top w:w="95" w:type="dxa"/>
              <w:start w:w="110" w:type="dxa"/>
              <w:bottom w:w="95" w:type="dxa"/>
              <w:end w:w="110" w:type="dxa"/>
            </w:tcMar>
          </w:tcPr>
          <w:p>
            <w:pPr>
              <w:spacing w:after="0" w:line="240" w:lineRule="auto"/>
            </w:pPr>
            <w:r>
              <w:rPr>
                <w:rFonts w:ascii="Aptos" w:hAnsi="Aptos"/>
                <w:color w:val="202A33"/>
                <w:sz w:val="15"/>
              </w:rPr>
              <w:t>Customer home region differs from merchant region.</w:t>
            </w:r>
          </w:p>
        </w:tc>
        <w:tc>
          <w:tcPr>
            <w:tcW w:type="dxa" w:w="3240"/>
            <w:vAlign w:val="center"/>
            <w:tcMar>
              <w:top w:w="95" w:type="dxa"/>
              <w:start w:w="110" w:type="dxa"/>
              <w:bottom w:w="95" w:type="dxa"/>
              <w:end w:w="110" w:type="dxa"/>
            </w:tcMar>
          </w:tcPr>
          <w:p>
            <w:pPr>
              <w:spacing w:after="0" w:line="240" w:lineRule="auto"/>
            </w:pPr>
            <w:r>
              <w:rPr>
                <w:rFonts w:ascii="Aptos" w:hAnsi="Aptos"/>
                <w:color w:val="202A33"/>
                <w:sz w:val="15"/>
              </w:rPr>
              <w:t>Provide a location mismatch signal; not proof of fraud.</w:t>
            </w:r>
          </w:p>
        </w:tc>
      </w:tr>
    </w:tbl>
    <w:p>
      <w:pPr>
        <w:spacing w:after="40"/>
      </w:pPr>
    </w:p>
    <w:p>
      <w:pPr>
        <w:pStyle w:val="Heading2"/>
        <w:keepNext/>
        <w:spacing w:before="160" w:after="100"/>
      </w:pPr>
      <w:r>
        <w:rPr>
          <w:rFonts w:ascii="Aptos" w:hAnsi="Aptos"/>
          <w:b/>
          <w:color w:val="000000"/>
          <w:sz w:val="25"/>
        </w:rPr>
        <w:t>Leakage boundary</w:t>
      </w:r>
    </w:p>
    <w:p>
      <w:pPr>
        <w:keepLines w:val="0"/>
        <w:spacing w:after="120" w:before="0" w:line="259" w:lineRule="auto"/>
      </w:pPr>
      <w:r>
        <w:rPr>
          <w:rFonts w:ascii="Aptos" w:hAnsi="Aptos"/>
          <w:color w:val="202A33"/>
          <w:sz w:val="20"/>
        </w:rPr>
        <w:t>Leakage occurs when a model receives information that would not be known at decision time, such as a planted fraud label, future review outcome, or data from after the event. TrustHold builds features from the transactions first, then joins labels by transaction ID only for fitting and evaluating the offline model. KYC risk is generated independently and omitted from the model feature list. The terminal network summary is a full-history investigation output, so it must not be fed back into point-in-time prediction.</w:t>
      </w:r>
    </w:p>
    <w:p>
      <w:pPr>
        <w:pStyle w:val="Heading1"/>
        <w:keepNext/>
        <w:spacing w:before="240" w:after="100"/>
      </w:pPr>
      <w:r>
        <w:rPr>
          <w:rFonts w:ascii="Aptos" w:hAnsi="Aptos"/>
          <w:b/>
          <w:color w:val="000000"/>
          <w:sz w:val="34"/>
        </w:rPr>
        <w:t>8  Rules and Logistic Regression</w:t>
      </w:r>
    </w:p>
    <w:p>
      <w:pPr>
        <w:pStyle w:val="Heading2"/>
        <w:keepNext/>
        <w:spacing w:before="160" w:after="100"/>
      </w:pPr>
      <w:r>
        <w:rPr>
          <w:rFonts w:ascii="Aptos" w:hAnsi="Aptos"/>
          <w:b/>
          <w:color w:val="000000"/>
          <w:sz w:val="25"/>
        </w:rPr>
        <w:t>Explainable rules</w:t>
      </w:r>
    </w:p>
    <w:p>
      <w:pPr>
        <w:keepLines w:val="0"/>
        <w:spacing w:after="120" w:before="0" w:line="259" w:lineRule="auto"/>
      </w:pPr>
      <w:r>
        <w:rPr>
          <w:rFonts w:ascii="Aptos" w:hAnsi="Aptos"/>
          <w:color w:val="202A33"/>
          <w:sz w:val="20"/>
        </w:rPr>
        <w:t>Each rule adds a visible number of points and a text reason. Several signals may accumulate on the same event. The final score is capped at 100; it is an alert score, not a calibrated probability.</w:t>
      </w:r>
    </w:p>
    <w:tbl>
      <w:tblPr>
        <w:tblW w:type="auto" w:w="0"/>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W w:w="9936" w:type="dxa"/>
      </w:tblPr>
      <w:tblGrid>
        <w:gridCol w:w="4608"/>
        <w:gridCol w:w="1152"/>
        <w:gridCol w:w="4176"/>
      </w:tblGrid>
      <w:tr>
        <w:trPr>
          <w:tblHeader w:val="true"/>
          <w:cantSplit/>
        </w:trPr>
        <w:tc>
          <w:tcPr>
            <w:tcW w:type="dxa" w:w="4608"/>
            <w:vAlign w:val="center"/>
            <w:shd w:fill="18364D" w:val="clear"/>
            <w:tcMar>
              <w:top w:w="95" w:type="dxa"/>
              <w:start w:w="110" w:type="dxa"/>
              <w:bottom w:w="95" w:type="dxa"/>
              <w:end w:w="110" w:type="dxa"/>
            </w:tcMar>
          </w:tcPr>
          <w:p>
            <w:pPr>
              <w:spacing w:after="0" w:line="240" w:lineRule="auto"/>
            </w:pPr>
            <w:r>
              <w:rPr>
                <w:rFonts w:ascii="Aptos" w:hAnsi="Aptos"/>
                <w:b/>
                <w:color w:val="FFFFFF"/>
                <w:sz w:val="15"/>
              </w:rPr>
              <w:t>Signal condition</w:t>
            </w:r>
          </w:p>
        </w:tc>
        <w:tc>
          <w:tcPr>
            <w:tcW w:type="dxa" w:w="1152"/>
            <w:vAlign w:val="center"/>
            <w:shd w:fill="18364D" w:val="clear"/>
            <w:tcMar>
              <w:top w:w="95" w:type="dxa"/>
              <w:start w:w="110" w:type="dxa"/>
              <w:bottom w:w="95" w:type="dxa"/>
              <w:end w:w="110" w:type="dxa"/>
            </w:tcMar>
          </w:tcPr>
          <w:p>
            <w:pPr>
              <w:spacing w:after="0" w:line="240" w:lineRule="auto"/>
            </w:pPr>
            <w:r>
              <w:rPr>
                <w:rFonts w:ascii="Aptos" w:hAnsi="Aptos"/>
                <w:b/>
                <w:color w:val="FFFFFF"/>
                <w:sz w:val="15"/>
              </w:rPr>
              <w:t>Points</w:t>
            </w:r>
          </w:p>
        </w:tc>
        <w:tc>
          <w:tcPr>
            <w:tcW w:type="dxa" w:w="4176"/>
            <w:vAlign w:val="center"/>
            <w:shd w:fill="18364D" w:val="clear"/>
            <w:tcMar>
              <w:top w:w="95" w:type="dxa"/>
              <w:start w:w="110" w:type="dxa"/>
              <w:bottom w:w="95" w:type="dxa"/>
              <w:end w:w="110" w:type="dxa"/>
            </w:tcMar>
          </w:tcPr>
          <w:p>
            <w:pPr>
              <w:spacing w:after="0" w:line="240" w:lineRule="auto"/>
            </w:pPr>
            <w:r>
              <w:rPr>
                <w:rFonts w:ascii="Aptos" w:hAnsi="Aptos"/>
                <w:b/>
                <w:color w:val="FFFFFF"/>
                <w:sz w:val="15"/>
              </w:rPr>
              <w:t>Reason code</w:t>
            </w:r>
          </w:p>
        </w:tc>
      </w:tr>
      <w:tr>
        <w:trPr>
          <w:cantSplit/>
        </w:trPr>
        <w:tc>
          <w:tcPr>
            <w:tcW w:type="dxa" w:w="4608"/>
            <w:vAlign w:val="center"/>
            <w:tcMar>
              <w:top w:w="95" w:type="dxa"/>
              <w:start w:w="110" w:type="dxa"/>
              <w:bottom w:w="95" w:type="dxa"/>
              <w:end w:w="110" w:type="dxa"/>
            </w:tcMar>
          </w:tcPr>
          <w:p>
            <w:pPr>
              <w:spacing w:after="0" w:line="240" w:lineRule="auto"/>
            </w:pPr>
            <w:r>
              <w:rPr>
                <w:rFonts w:ascii="Aptos" w:hAnsi="Aptos"/>
                <w:color w:val="202A33"/>
                <w:sz w:val="15"/>
              </w:rPr>
              <w:t>Amount is at least 3× typical spend</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5"/>
              </w:rPr>
              <w:t>30</w:t>
            </w:r>
          </w:p>
        </w:tc>
        <w:tc>
          <w:tcPr>
            <w:tcW w:type="dxa" w:w="4176"/>
            <w:vAlign w:val="center"/>
            <w:tcMar>
              <w:top w:w="95" w:type="dxa"/>
              <w:start w:w="110" w:type="dxa"/>
              <w:bottom w:w="95" w:type="dxa"/>
              <w:end w:w="110" w:type="dxa"/>
            </w:tcMar>
          </w:tcPr>
          <w:p>
            <w:pPr>
              <w:spacing w:after="0" w:line="240" w:lineRule="auto"/>
            </w:pPr>
            <w:r>
              <w:rPr>
                <w:rFonts w:ascii="Aptos" w:hAnsi="Aptos"/>
                <w:color w:val="202A33"/>
                <w:sz w:val="15"/>
              </w:rPr>
              <w:t>amount_vs_profile</w:t>
            </w:r>
          </w:p>
        </w:tc>
      </w:tr>
      <w:tr>
        <w:trPr>
          <w:cantSplit/>
        </w:trPr>
        <w:tc>
          <w:tcPr>
            <w:tcW w:type="dxa" w:w="4608"/>
            <w:vAlign w:val="center"/>
            <w:tcMar>
              <w:top w:w="95" w:type="dxa"/>
              <w:start w:w="110" w:type="dxa"/>
              <w:bottom w:w="95" w:type="dxa"/>
              <w:end w:w="110" w:type="dxa"/>
            </w:tcMar>
            <w:shd w:fill="EAF1F6" w:val="clear"/>
          </w:tcPr>
          <w:p>
            <w:pPr>
              <w:spacing w:after="0" w:line="240" w:lineRule="auto"/>
            </w:pPr>
            <w:r>
              <w:rPr>
                <w:rFonts w:ascii="Aptos" w:hAnsi="Aptos"/>
                <w:color w:val="202A33"/>
                <w:sz w:val="15"/>
              </w:rPr>
              <w:t>Amount is at least 6× typical spend</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+25</w:t>
            </w:r>
          </w:p>
        </w:tc>
        <w:tc>
          <w:tcPr>
            <w:tcW w:type="dxa" w:w="417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extreme_amount_vs_profile</w:t>
            </w:r>
          </w:p>
        </w:tc>
      </w:tr>
      <w:tr>
        <w:trPr>
          <w:cantSplit/>
        </w:trPr>
        <w:tc>
          <w:tcPr>
            <w:tcW w:type="dxa" w:w="4608"/>
            <w:vAlign w:val="center"/>
            <w:tcMar>
              <w:top w:w="95" w:type="dxa"/>
              <w:start w:w="110" w:type="dxa"/>
              <w:bottom w:w="95" w:type="dxa"/>
              <w:end w:w="110" w:type="dxa"/>
            </w:tcMar>
          </w:tcPr>
          <w:p>
            <w:pPr>
              <w:spacing w:after="0" w:line="240" w:lineRule="auto"/>
            </w:pPr>
            <w:r>
              <w:rPr>
                <w:rFonts w:ascii="Aptos" w:hAnsi="Aptos"/>
                <w:color w:val="202A33"/>
                <w:sz w:val="15"/>
              </w:rPr>
              <w:t>At least 5 prior events in 24 hours</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5"/>
              </w:rPr>
              <w:t>25</w:t>
            </w:r>
          </w:p>
        </w:tc>
        <w:tc>
          <w:tcPr>
            <w:tcW w:type="dxa" w:w="4176"/>
            <w:vAlign w:val="center"/>
            <w:tcMar>
              <w:top w:w="95" w:type="dxa"/>
              <w:start w:w="110" w:type="dxa"/>
              <w:bottom w:w="95" w:type="dxa"/>
              <w:end w:w="110" w:type="dxa"/>
            </w:tcMar>
          </w:tcPr>
          <w:p>
            <w:pPr>
              <w:spacing w:after="0" w:line="240" w:lineRule="auto"/>
            </w:pPr>
            <w:r>
              <w:rPr>
                <w:rFonts w:ascii="Aptos" w:hAnsi="Aptos"/>
                <w:color w:val="202A33"/>
                <w:sz w:val="15"/>
              </w:rPr>
              <w:t>customer_velocity</w:t>
            </w:r>
          </w:p>
        </w:tc>
      </w:tr>
      <w:tr>
        <w:trPr>
          <w:cantSplit/>
        </w:trPr>
        <w:tc>
          <w:tcPr>
            <w:tcW w:type="dxa" w:w="4608"/>
            <w:vAlign w:val="center"/>
            <w:tcMar>
              <w:top w:w="95" w:type="dxa"/>
              <w:start w:w="110" w:type="dxa"/>
              <w:bottom w:w="95" w:type="dxa"/>
              <w:end w:w="110" w:type="dxa"/>
            </w:tcMar>
            <w:shd w:fill="EAF1F6" w:val="clear"/>
          </w:tcPr>
          <w:p>
            <w:pPr>
              <w:spacing w:after="0" w:line="240" w:lineRule="auto"/>
            </w:pPr>
            <w:r>
              <w:rPr>
                <w:rFonts w:ascii="Aptos" w:hAnsi="Aptos"/>
                <w:color w:val="202A33"/>
                <w:sz w:val="15"/>
              </w:rPr>
              <w:t>At least 10 prior events in 24 hours</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+20</w:t>
            </w:r>
          </w:p>
        </w:tc>
        <w:tc>
          <w:tcPr>
            <w:tcW w:type="dxa" w:w="417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high_customer_velocity</w:t>
            </w:r>
          </w:p>
        </w:tc>
      </w:tr>
      <w:tr>
        <w:trPr>
          <w:cantSplit/>
        </w:trPr>
        <w:tc>
          <w:tcPr>
            <w:tcW w:type="dxa" w:w="4608"/>
            <w:vAlign w:val="center"/>
            <w:tcMar>
              <w:top w:w="95" w:type="dxa"/>
              <w:start w:w="110" w:type="dxa"/>
              <w:bottom w:w="95" w:type="dxa"/>
              <w:end w:w="110" w:type="dxa"/>
            </w:tcMar>
          </w:tcPr>
          <w:p>
            <w:pPr>
              <w:spacing w:after="0" w:line="240" w:lineRule="auto"/>
            </w:pPr>
            <w:r>
              <w:rPr>
                <w:rFonts w:ascii="Aptos" w:hAnsi="Aptos"/>
                <w:color w:val="202A33"/>
                <w:sz w:val="15"/>
              </w:rPr>
              <w:t>New customer-terminal pair</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5"/>
              </w:rPr>
              <w:t>15</w:t>
            </w:r>
          </w:p>
        </w:tc>
        <w:tc>
          <w:tcPr>
            <w:tcW w:type="dxa" w:w="4176"/>
            <w:vAlign w:val="center"/>
            <w:tcMar>
              <w:top w:w="95" w:type="dxa"/>
              <w:start w:w="110" w:type="dxa"/>
              <w:bottom w:w="95" w:type="dxa"/>
              <w:end w:w="110" w:type="dxa"/>
            </w:tcMar>
          </w:tcPr>
          <w:p>
            <w:pPr>
              <w:spacing w:after="0" w:line="240" w:lineRule="auto"/>
            </w:pPr>
            <w:r>
              <w:rPr>
                <w:rFonts w:ascii="Aptos" w:hAnsi="Aptos"/>
                <w:color w:val="202A33"/>
                <w:sz w:val="15"/>
              </w:rPr>
              <w:t>new_customer_terminal_pair</w:t>
            </w:r>
          </w:p>
        </w:tc>
      </w:tr>
      <w:tr>
        <w:trPr>
          <w:cantSplit/>
        </w:trPr>
        <w:tc>
          <w:tcPr>
            <w:tcW w:type="dxa" w:w="4608"/>
            <w:vAlign w:val="center"/>
            <w:tcMar>
              <w:top w:w="95" w:type="dxa"/>
              <w:start w:w="110" w:type="dxa"/>
              <w:bottom w:w="95" w:type="dxa"/>
              <w:end w:w="110" w:type="dxa"/>
            </w:tcMar>
            <w:shd w:fill="EAF1F6" w:val="clear"/>
          </w:tcPr>
          <w:p>
            <w:pPr>
              <w:spacing w:after="0" w:line="240" w:lineRule="auto"/>
            </w:pPr>
            <w:r>
              <w:rPr>
                <w:rFonts w:ascii="Aptos" w:hAnsi="Aptos"/>
                <w:color w:val="202A33"/>
                <w:sz w:val="15"/>
              </w:rPr>
              <w:t>Terminal previously used by at least 8 customers</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18</w:t>
            </w:r>
          </w:p>
        </w:tc>
        <w:tc>
          <w:tcPr>
            <w:tcW w:type="dxa" w:w="417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terminal_customer_network_burst</w:t>
            </w:r>
          </w:p>
        </w:tc>
      </w:tr>
      <w:tr>
        <w:trPr>
          <w:cantSplit/>
        </w:trPr>
        <w:tc>
          <w:tcPr>
            <w:tcW w:type="dxa" w:w="4608"/>
            <w:vAlign w:val="center"/>
            <w:tcMar>
              <w:top w:w="95" w:type="dxa"/>
              <w:start w:w="110" w:type="dxa"/>
              <w:bottom w:w="95" w:type="dxa"/>
              <w:end w:w="110" w:type="dxa"/>
            </w:tcMar>
          </w:tcPr>
          <w:p>
            <w:pPr>
              <w:spacing w:after="0" w:line="240" w:lineRule="auto"/>
            </w:pPr>
            <w:r>
              <w:rPr>
                <w:rFonts w:ascii="Aptos" w:hAnsi="Aptos"/>
                <w:color w:val="202A33"/>
                <w:sz w:val="15"/>
              </w:rPr>
              <w:t>Amount ≤ $5 and at least 2 prior events</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5"/>
              </w:rPr>
              <w:t>35</w:t>
            </w:r>
          </w:p>
        </w:tc>
        <w:tc>
          <w:tcPr>
            <w:tcW w:type="dxa" w:w="4176"/>
            <w:vAlign w:val="center"/>
            <w:tcMar>
              <w:top w:w="95" w:type="dxa"/>
              <w:start w:w="110" w:type="dxa"/>
              <w:bottom w:w="95" w:type="dxa"/>
              <w:end w:w="110" w:type="dxa"/>
            </w:tcMar>
          </w:tcPr>
          <w:p>
            <w:pPr>
              <w:spacing w:after="0" w:line="240" w:lineRule="auto"/>
            </w:pPr>
            <w:r>
              <w:rPr>
                <w:rFonts w:ascii="Aptos" w:hAnsi="Aptos"/>
                <w:color w:val="202A33"/>
                <w:sz w:val="15"/>
              </w:rPr>
              <w:t>low_value_testing_velocity</w:t>
            </w:r>
          </w:p>
        </w:tc>
      </w:tr>
      <w:tr>
        <w:trPr>
          <w:cantSplit/>
        </w:trPr>
        <w:tc>
          <w:tcPr>
            <w:tcW w:type="dxa" w:w="4608"/>
            <w:vAlign w:val="center"/>
            <w:tcMar>
              <w:top w:w="95" w:type="dxa"/>
              <w:start w:w="110" w:type="dxa"/>
              <w:bottom w:w="95" w:type="dxa"/>
              <w:end w:w="110" w:type="dxa"/>
            </w:tcMar>
            <w:shd w:fill="EAF1F6" w:val="clear"/>
          </w:tcPr>
          <w:p>
            <w:pPr>
              <w:spacing w:after="0" w:line="240" w:lineRule="auto"/>
            </w:pPr>
            <w:r>
              <w:rPr>
                <w:rFonts w:ascii="Aptos" w:hAnsi="Aptos"/>
                <w:color w:val="202A33"/>
                <w:sz w:val="15"/>
              </w:rPr>
              <w:t>Ecommerce, magstripe, and night activity</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20</w:t>
            </w:r>
          </w:p>
        </w:tc>
        <w:tc>
          <w:tcPr>
            <w:tcW w:type="dxa" w:w="417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ecommerce_authentication_shift</w:t>
            </w:r>
          </w:p>
        </w:tc>
      </w:tr>
      <w:tr>
        <w:trPr>
          <w:cantSplit/>
        </w:trPr>
        <w:tc>
          <w:tcPr>
            <w:tcW w:type="dxa" w:w="4608"/>
            <w:vAlign w:val="center"/>
            <w:tcMar>
              <w:top w:w="95" w:type="dxa"/>
              <w:start w:w="110" w:type="dxa"/>
              <w:bottom w:w="95" w:type="dxa"/>
              <w:end w:w="110" w:type="dxa"/>
            </w:tcMar>
          </w:tcPr>
          <w:p>
            <w:pPr>
              <w:spacing w:after="0" w:line="240" w:lineRule="auto"/>
            </w:pPr>
            <w:r>
              <w:rPr>
                <w:rFonts w:ascii="Aptos" w:hAnsi="Aptos"/>
                <w:color w:val="202A33"/>
                <w:sz w:val="15"/>
              </w:rPr>
              <w:t>Night activity</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5"/>
              </w:rPr>
              <w:t>8</w:t>
            </w:r>
          </w:p>
        </w:tc>
        <w:tc>
          <w:tcPr>
            <w:tcW w:type="dxa" w:w="4176"/>
            <w:vAlign w:val="center"/>
            <w:tcMar>
              <w:top w:w="95" w:type="dxa"/>
              <w:start w:w="110" w:type="dxa"/>
              <w:bottom w:w="95" w:type="dxa"/>
              <w:end w:w="110" w:type="dxa"/>
            </w:tcMar>
          </w:tcPr>
          <w:p>
            <w:pPr>
              <w:spacing w:after="0" w:line="240" w:lineRule="auto"/>
            </w:pPr>
            <w:r>
              <w:rPr>
                <w:rFonts w:ascii="Aptos" w:hAnsi="Aptos"/>
                <w:color w:val="202A33"/>
                <w:sz w:val="15"/>
              </w:rPr>
              <w:t>night_activity</w:t>
            </w:r>
          </w:p>
        </w:tc>
      </w:tr>
      <w:tr>
        <w:trPr>
          <w:cantSplit/>
        </w:trPr>
        <w:tc>
          <w:tcPr>
            <w:tcW w:type="dxa" w:w="4608"/>
            <w:vAlign w:val="center"/>
            <w:tcMar>
              <w:top w:w="95" w:type="dxa"/>
              <w:start w:w="110" w:type="dxa"/>
              <w:bottom w:w="95" w:type="dxa"/>
              <w:end w:w="110" w:type="dxa"/>
            </w:tcMar>
            <w:shd w:fill="EAF1F6" w:val="clear"/>
          </w:tcPr>
          <w:p>
            <w:pPr>
              <w:spacing w:after="0" w:line="240" w:lineRule="auto"/>
            </w:pPr>
            <w:r>
              <w:rPr>
                <w:rFonts w:ascii="Aptos" w:hAnsi="Aptos"/>
                <w:color w:val="202A33"/>
                <w:sz w:val="15"/>
              </w:rPr>
              <w:t>Authentication soft decline</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8</w:t>
            </w:r>
          </w:p>
        </w:tc>
        <w:tc>
          <w:tcPr>
            <w:tcW w:type="dxa" w:w="417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authentication_soft_decline</w:t>
            </w:r>
          </w:p>
        </w:tc>
      </w:tr>
      <w:tr>
        <w:trPr>
          <w:cantSplit/>
        </w:trPr>
        <w:tc>
          <w:tcPr>
            <w:tcW w:type="dxa" w:w="4608"/>
            <w:vAlign w:val="center"/>
            <w:tcMar>
              <w:top w:w="95" w:type="dxa"/>
              <w:start w:w="110" w:type="dxa"/>
              <w:bottom w:w="95" w:type="dxa"/>
              <w:end w:w="110" w:type="dxa"/>
            </w:tcMar>
          </w:tcPr>
          <w:p>
            <w:pPr>
              <w:spacing w:after="0" w:line="240" w:lineRule="auto"/>
            </w:pPr>
            <w:r>
              <w:rPr>
                <w:rFonts w:ascii="Aptos" w:hAnsi="Aptos"/>
                <w:color w:val="202A33"/>
                <w:sz w:val="15"/>
              </w:rPr>
              <w:t>Customer and merchant regions differ</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5"/>
              </w:rPr>
              <w:t>12</w:t>
            </w:r>
          </w:p>
        </w:tc>
        <w:tc>
          <w:tcPr>
            <w:tcW w:type="dxa" w:w="4176"/>
            <w:vAlign w:val="center"/>
            <w:tcMar>
              <w:top w:w="95" w:type="dxa"/>
              <w:start w:w="110" w:type="dxa"/>
              <w:bottom w:w="95" w:type="dxa"/>
              <w:end w:w="110" w:type="dxa"/>
            </w:tcMar>
          </w:tcPr>
          <w:p>
            <w:pPr>
              <w:spacing w:after="0" w:line="240" w:lineRule="auto"/>
            </w:pPr>
            <w:r>
              <w:rPr>
                <w:rFonts w:ascii="Aptos" w:hAnsi="Aptos"/>
                <w:color w:val="202A33"/>
                <w:sz w:val="15"/>
              </w:rPr>
              <w:t>home_region_mismatch</w:t>
            </w:r>
          </w:p>
        </w:tc>
      </w:tr>
    </w:tbl>
    <w:p>
      <w:pPr>
        <w:spacing w:after="40"/>
      </w:pPr>
    </w:p>
    <w:p>
      <w:pPr>
        <w:keepLines w:val="0"/>
        <w:spacing w:after="120" w:before="0" w:line="259" w:lineRule="auto"/>
      </w:pPr>
      <w:r>
        <w:rPr>
          <w:rFonts w:ascii="Aptos" w:hAnsi="Aptos"/>
          <w:color w:val="202A33"/>
          <w:sz w:val="20"/>
        </w:rPr>
        <w:t>The bands are cumulative. For example, an amount six times the customer's typical spend receives both amount rules. Rule reasons make it possible to explain why a row scored highly and to investigate false alerts.</w:t>
      </w:r>
    </w:p>
    <w:p>
      <w:pPr>
        <w:pStyle w:val="Heading2"/>
        <w:keepNext/>
        <w:spacing w:before="160" w:after="100"/>
      </w:pPr>
      <w:r>
        <w:rPr>
          <w:rFonts w:ascii="Aptos" w:hAnsi="Aptos"/>
          <w:b/>
          <w:color w:val="000000"/>
          <w:sz w:val="25"/>
        </w:rPr>
        <w:t>Logistic baseline</w:t>
      </w:r>
    </w:p>
    <w:p>
      <w:pPr>
        <w:keepLines w:val="0"/>
        <w:spacing w:after="120" w:before="0" w:line="259" w:lineRule="auto"/>
      </w:pPr>
      <w:r>
        <w:rPr>
          <w:rFonts w:ascii="Aptos" w:hAnsi="Aptos"/>
          <w:color w:val="202A33"/>
          <w:sz w:val="20"/>
        </w:rPr>
        <w:t>The logistic model estimates a score using a weighted linear combination of the 12 numeric features followed by a sigmoid transformation. It is implemented with NumPy and full-batch gradient descent rather than a machine-learning library. Before fitting, it standardizes each feature using the training mean and standard deviation. A zero standard deviation is replaced by 1 so the calculation remains defined. Standardized values are clipped to keep extreme values from dominating.</w:t>
      </w:r>
    </w:p>
    <w:p>
      <w:pPr>
        <w:keepLines w:val="0"/>
        <w:spacing w:after="120" w:before="0" w:line="259" w:lineRule="auto"/>
      </w:pPr>
      <w:r>
        <w:rPr>
          <w:rFonts w:ascii="Aptos" w:hAnsi="Aptos"/>
          <w:color w:val="202A33"/>
          <w:sz w:val="20"/>
        </w:rPr>
        <w:t>Because fraud is rare, positive rows receive a larger training weight than negative rows. The positive weight is the negative-to-positive ratio capped at 12 and normalized to an average weight of 1. The default optimizer runs 1,200 epochs with learning rate 0.08 and L2 regularization 0.001. Saved coefficients make the fitted feature weights inspectable. The weighted scores are useful for ranking, but the project does not claim they are calibrated real-world probabilities.</w:t>
      </w:r>
    </w:p>
    <w:p>
      <w:pPr>
        <w:pStyle w:val="Heading2"/>
        <w:keepNext/>
        <w:spacing w:before="160" w:after="100"/>
      </w:pPr>
      <w:r>
        <w:rPr>
          <w:rFonts w:ascii="Aptos" w:hAnsi="Aptos"/>
          <w:b/>
          <w:color w:val="000000"/>
          <w:sz w:val="25"/>
        </w:rPr>
        <w:t>Three score strategies</w:t>
      </w:r>
    </w:p>
    <w:p>
      <w:pPr>
        <w:pStyle w:val="ListBullet"/>
        <w:spacing w:after="60" w:line="252" w:lineRule="auto"/>
      </w:pPr>
      <w:r>
        <w:rPr>
          <w:rFonts w:ascii="Aptos" w:hAnsi="Aptos"/>
          <w:color w:val="202A33"/>
          <w:sz w:val="20"/>
        </w:rPr>
        <w:t>Rules uses Rule_Risk, the rule score divided by 100.</w:t>
      </w:r>
    </w:p>
    <w:p>
      <w:pPr>
        <w:pStyle w:val="ListBullet"/>
        <w:spacing w:after="60" w:line="252" w:lineRule="auto"/>
      </w:pPr>
      <w:r>
        <w:rPr>
          <w:rFonts w:ascii="Aptos" w:hAnsi="Aptos"/>
          <w:color w:val="202A33"/>
          <w:sz w:val="20"/>
        </w:rPr>
        <w:t>Logistic uses the model score from the NumPy baseline.</w:t>
      </w:r>
    </w:p>
    <w:p>
      <w:pPr>
        <w:pStyle w:val="ListBullet"/>
        <w:spacing w:after="60" w:line="252" w:lineRule="auto"/>
      </w:pPr>
      <w:r>
        <w:rPr>
          <w:rFonts w:ascii="Aptos" w:hAnsi="Aptos"/>
          <w:color w:val="202A33"/>
          <w:sz w:val="20"/>
        </w:rPr>
        <w:t>Rules + logistic uses the higher of the two scores for each event.</w:t>
      </w:r>
    </w:p>
    <w:p>
      <w:pPr>
        <w:pStyle w:val="Heading1"/>
        <w:keepNext/>
        <w:spacing w:before="240" w:after="100"/>
      </w:pPr>
      <w:r>
        <w:rPr>
          <w:rFonts w:ascii="Aptos" w:hAnsi="Aptos"/>
          <w:b/>
          <w:color w:val="000000"/>
          <w:sz w:val="34"/>
        </w:rPr>
        <w:t>9  Decisions, Capacity, and Economics</w:t>
      </w:r>
    </w:p>
    <w:p>
      <w:pPr>
        <w:pStyle w:val="Heading2"/>
        <w:keepNext/>
        <w:spacing w:before="160" w:after="100"/>
      </w:pPr>
      <w:r>
        <w:rPr>
          <w:rFonts w:ascii="Aptos" w:hAnsi="Aptos"/>
          <w:b/>
          <w:color w:val="000000"/>
          <w:sz w:val="25"/>
        </w:rPr>
        <w:t>Four operating actions</w:t>
      </w:r>
    </w:p>
    <w:tbl>
      <w:tblPr>
        <w:tblW w:type="auto" w:w="0"/>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W w:w="9936" w:type="dxa"/>
      </w:tblPr>
      <w:tblGrid>
        <w:gridCol w:w="1512"/>
        <w:gridCol w:w="3528"/>
        <w:gridCol w:w="4896"/>
      </w:tblGrid>
      <w:tr>
        <w:trPr>
          <w:tblHeader w:val="true"/>
          <w:cantSplit/>
        </w:trPr>
        <w:tc>
          <w:tcPr>
            <w:tcW w:type="dxa" w:w="1512"/>
            <w:vAlign w:val="center"/>
            <w:shd w:fill="18364D" w:val="clear"/>
            <w:tcMar>
              <w:top w:w="95" w:type="dxa"/>
              <w:start w:w="110" w:type="dxa"/>
              <w:bottom w:w="95" w:type="dxa"/>
              <w:end w:w="110" w:type="dxa"/>
            </w:tcMar>
          </w:tcPr>
          <w:p>
            <w:pPr>
              <w:spacing w:after="0" w:line="240" w:lineRule="auto"/>
            </w:pPr>
            <w:r>
              <w:rPr>
                <w:rFonts w:ascii="Aptos" w:hAnsi="Aptos"/>
                <w:b/>
                <w:color w:val="FFFFFF"/>
                <w:sz w:val="16"/>
              </w:rPr>
              <w:t>Action</w:t>
            </w:r>
          </w:p>
        </w:tc>
        <w:tc>
          <w:tcPr>
            <w:tcW w:type="dxa" w:w="3528"/>
            <w:vAlign w:val="center"/>
            <w:shd w:fill="18364D" w:val="clear"/>
            <w:tcMar>
              <w:top w:w="95" w:type="dxa"/>
              <w:start w:w="110" w:type="dxa"/>
              <w:bottom w:w="95" w:type="dxa"/>
              <w:end w:w="110" w:type="dxa"/>
            </w:tcMar>
          </w:tcPr>
          <w:p>
            <w:pPr>
              <w:spacing w:after="0" w:line="240" w:lineRule="auto"/>
            </w:pPr>
            <w:r>
              <w:rPr>
                <w:rFonts w:ascii="Aptos" w:hAnsi="Aptos"/>
                <w:b/>
                <w:color w:val="FFFFFF"/>
                <w:sz w:val="16"/>
              </w:rPr>
              <w:t>Meaning</w:t>
            </w:r>
          </w:p>
        </w:tc>
        <w:tc>
          <w:tcPr>
            <w:tcW w:type="dxa" w:w="4896"/>
            <w:vAlign w:val="center"/>
            <w:shd w:fill="18364D" w:val="clear"/>
            <w:tcMar>
              <w:top w:w="95" w:type="dxa"/>
              <w:start w:w="110" w:type="dxa"/>
              <w:bottom w:w="95" w:type="dxa"/>
              <w:end w:w="110" w:type="dxa"/>
            </w:tcMar>
          </w:tcPr>
          <w:p>
            <w:pPr>
              <w:spacing w:after="0" w:line="240" w:lineRule="auto"/>
            </w:pPr>
            <w:r>
              <w:rPr>
                <w:rFonts w:ascii="Aptos" w:hAnsi="Aptos"/>
                <w:b/>
                <w:color w:val="FFFFFF"/>
                <w:sz w:val="16"/>
              </w:rPr>
              <w:t>Modeled effect</w:t>
            </w:r>
          </w:p>
        </w:tc>
      </w:tr>
      <w:tr>
        <w:trPr>
          <w:cantSplit/>
        </w:trPr>
        <w:tc>
          <w:tcPr>
            <w:tcW w:type="dxa" w:w="1512"/>
            <w:vAlign w:val="center"/>
            <w:tcMar>
              <w:top w:w="95" w:type="dxa"/>
              <w:start w:w="110" w:type="dxa"/>
              <w:bottom w:w="95" w:type="dxa"/>
              <w:end w:w="110" w:type="dxa"/>
            </w:tcMar>
          </w:tcPr>
          <w:p>
            <w:pPr>
              <w:spacing w:after="0" w:line="240" w:lineRule="auto"/>
            </w:pPr>
            <w:r>
              <w:rPr>
                <w:rFonts w:ascii="Aptos" w:hAnsi="Aptos"/>
                <w:color w:val="202A33"/>
                <w:sz w:val="16"/>
              </w:rPr>
              <w:t>APPROVE</w:t>
            </w:r>
          </w:p>
        </w:tc>
        <w:tc>
          <w:tcPr>
            <w:tcW w:type="dxa" w:w="3528"/>
            <w:vAlign w:val="center"/>
            <w:tcMar>
              <w:top w:w="95" w:type="dxa"/>
              <w:start w:w="110" w:type="dxa"/>
              <w:bottom w:w="95" w:type="dxa"/>
              <w:end w:w="110" w:type="dxa"/>
            </w:tcMar>
          </w:tcPr>
          <w:p>
            <w:pPr>
              <w:spacing w:after="0" w:line="240" w:lineRule="auto"/>
            </w:pPr>
            <w:r>
              <w:rPr>
                <w:rFonts w:ascii="Aptos" w:hAnsi="Aptos"/>
                <w:color w:val="202A33"/>
                <w:sz w:val="16"/>
              </w:rPr>
              <w:t>Release the payment.</w:t>
            </w:r>
          </w:p>
        </w:tc>
        <w:tc>
          <w:tcPr>
            <w:tcW w:type="dxa" w:w="4896"/>
            <w:vAlign w:val="center"/>
            <w:tcMar>
              <w:top w:w="95" w:type="dxa"/>
              <w:start w:w="110" w:type="dxa"/>
              <w:bottom w:w="95" w:type="dxa"/>
              <w:end w:w="110" w:type="dxa"/>
            </w:tcMar>
          </w:tcPr>
          <w:p>
            <w:pPr>
              <w:spacing w:after="0" w:line="240" w:lineRule="auto"/>
            </w:pPr>
            <w:r>
              <w:rPr>
                <w:rFonts w:ascii="Aptos" w:hAnsi="Aptos"/>
                <w:color w:val="202A33"/>
                <w:sz w:val="16"/>
              </w:rPr>
              <w:t>Fraud can create loss and a chargeback fee; legitimate payment earns a margin.</w:t>
            </w:r>
          </w:p>
        </w:tc>
      </w:tr>
      <w:tr>
        <w:trPr>
          <w:cantSplit/>
        </w:trPr>
        <w:tc>
          <w:tcPr>
            <w:tcW w:type="dxa" w:w="1512"/>
            <w:vAlign w:val="center"/>
            <w:tcMar>
              <w:top w:w="95" w:type="dxa"/>
              <w:start w:w="110" w:type="dxa"/>
              <w:bottom w:w="95" w:type="dxa"/>
              <w:end w:w="110" w:type="dxa"/>
            </w:tcMar>
            <w:shd w:fill="EAF1F6" w:val="clear"/>
          </w:tcPr>
          <w:p>
            <w:pPr>
              <w:spacing w:after="0" w:line="240" w:lineRule="auto"/>
            </w:pPr>
            <w:r>
              <w:rPr>
                <w:rFonts w:ascii="Aptos" w:hAnsi="Aptos"/>
                <w:color w:val="202A33"/>
                <w:sz w:val="16"/>
              </w:rPr>
              <w:t>CHALLENGE</w:t>
            </w:r>
          </w:p>
        </w:tc>
        <w:tc>
          <w:tcPr>
            <w:tcW w:type="dxa" w:w="3528"/>
            <w:vAlign w:val="center"/>
            <w:tcMar>
              <w:top w:w="95" w:type="dxa"/>
              <w:start w:w="110" w:type="dxa"/>
              <w:bottom w:w="95" w:type="dxa"/>
              <w:end w:w="110" w:type="dxa"/>
            </w:tcMar>
            <w:shd w:fill="EAF1F6" w:val="clear"/>
          </w:tcPr>
          <w:p>
            <w:pPr>
              <w:spacing w:after="0" w:line="240" w:lineRule="auto"/>
            </w:pPr>
            <w:r>
              <w:rPr>
                <w:rFonts w:ascii="Aptos" w:hAnsi="Aptos"/>
                <w:color w:val="202A33"/>
                <w:sz w:val="16"/>
              </w:rPr>
              <w:t>Ask the customer to complete step-up verification.</w:t>
            </w:r>
          </w:p>
        </w:tc>
        <w:tc>
          <w:tcPr>
            <w:tcW w:type="dxa" w:w="4896"/>
            <w:vAlign w:val="center"/>
            <w:tcMar>
              <w:top w:w="95" w:type="dxa"/>
              <w:start w:w="110" w:type="dxa"/>
              <w:bottom w:w="95" w:type="dxa"/>
              <w:end w:w="110" w:type="dxa"/>
            </w:tcMar>
            <w:shd w:fill="EAF1F6" w:val="clear"/>
          </w:tcPr>
          <w:p>
            <w:pPr>
              <w:spacing w:after="0" w:line="240" w:lineRule="auto"/>
            </w:pPr>
            <w:r>
              <w:rPr>
                <w:rFonts w:ascii="Aptos" w:hAnsi="Aptos"/>
                <w:color w:val="202A33"/>
                <w:sz w:val="16"/>
              </w:rPr>
              <w:t>Costs $0.40; the base scenario assumes it stops 80% of challenged fraud.</w:t>
            </w:r>
          </w:p>
        </w:tc>
      </w:tr>
      <w:tr>
        <w:trPr>
          <w:cantSplit/>
        </w:trPr>
        <w:tc>
          <w:tcPr>
            <w:tcW w:type="dxa" w:w="1512"/>
            <w:vAlign w:val="center"/>
            <w:tcMar>
              <w:top w:w="95" w:type="dxa"/>
              <w:start w:w="110" w:type="dxa"/>
              <w:bottom w:w="95" w:type="dxa"/>
              <w:end w:w="110" w:type="dxa"/>
            </w:tcMar>
          </w:tcPr>
          <w:p>
            <w:pPr>
              <w:spacing w:after="0" w:line="240" w:lineRule="auto"/>
            </w:pPr>
            <w:r>
              <w:rPr>
                <w:rFonts w:ascii="Aptos" w:hAnsi="Aptos"/>
                <w:color w:val="202A33"/>
                <w:sz w:val="16"/>
              </w:rPr>
              <w:t>REVIEW</w:t>
            </w:r>
          </w:p>
        </w:tc>
        <w:tc>
          <w:tcPr>
            <w:tcW w:type="dxa" w:w="3528"/>
            <w:vAlign w:val="center"/>
            <w:tcMar>
              <w:top w:w="95" w:type="dxa"/>
              <w:start w:w="110" w:type="dxa"/>
              <w:bottom w:w="95" w:type="dxa"/>
              <w:end w:w="110" w:type="dxa"/>
            </w:tcMar>
          </w:tcPr>
          <w:p>
            <w:pPr>
              <w:spacing w:after="0" w:line="240" w:lineRule="auto"/>
            </w:pPr>
            <w:r>
              <w:rPr>
                <w:rFonts w:ascii="Aptos" w:hAnsi="Aptos"/>
                <w:color w:val="202A33"/>
                <w:sz w:val="16"/>
              </w:rPr>
              <w:t>Place the event in an investigator queue.</w:t>
            </w:r>
          </w:p>
        </w:tc>
        <w:tc>
          <w:tcPr>
            <w:tcW w:type="dxa" w:w="4896"/>
            <w:vAlign w:val="center"/>
            <w:tcMar>
              <w:top w:w="95" w:type="dxa"/>
              <w:start w:w="110" w:type="dxa"/>
              <w:bottom w:w="95" w:type="dxa"/>
              <w:end w:w="110" w:type="dxa"/>
            </w:tcMar>
          </w:tcPr>
          <w:p>
            <w:pPr>
              <w:spacing w:after="0" w:line="240" w:lineRule="auto"/>
            </w:pPr>
            <w:r>
              <w:rPr>
                <w:rFonts w:ascii="Aptos" w:hAnsi="Aptos"/>
                <w:color w:val="202A33"/>
                <w:sz w:val="16"/>
              </w:rPr>
              <w:t>Costs $4.50; the base scenario assumes 90% recovery for reviewed fraud.</w:t>
            </w:r>
          </w:p>
        </w:tc>
      </w:tr>
      <w:tr>
        <w:trPr>
          <w:cantSplit/>
        </w:trPr>
        <w:tc>
          <w:tcPr>
            <w:tcW w:type="dxa" w:w="1512"/>
            <w:vAlign w:val="center"/>
            <w:tcMar>
              <w:top w:w="95" w:type="dxa"/>
              <w:start w:w="110" w:type="dxa"/>
              <w:bottom w:w="95" w:type="dxa"/>
              <w:end w:w="110" w:type="dxa"/>
            </w:tcMar>
            <w:shd w:fill="EAF1F6" w:val="clear"/>
          </w:tcPr>
          <w:p>
            <w:pPr>
              <w:spacing w:after="0" w:line="240" w:lineRule="auto"/>
            </w:pPr>
            <w:r>
              <w:rPr>
                <w:rFonts w:ascii="Aptos" w:hAnsi="Aptos"/>
                <w:color w:val="202A33"/>
                <w:sz w:val="16"/>
              </w:rPr>
              <w:t>DECLINE</w:t>
            </w:r>
          </w:p>
        </w:tc>
        <w:tc>
          <w:tcPr>
            <w:tcW w:type="dxa" w:w="3528"/>
            <w:vAlign w:val="center"/>
            <w:tcMar>
              <w:top w:w="95" w:type="dxa"/>
              <w:start w:w="110" w:type="dxa"/>
              <w:bottom w:w="95" w:type="dxa"/>
              <w:end w:w="110" w:type="dxa"/>
            </w:tcMar>
            <w:shd w:fill="EAF1F6" w:val="clear"/>
          </w:tcPr>
          <w:p>
            <w:pPr>
              <w:spacing w:after="0" w:line="240" w:lineRule="auto"/>
            </w:pPr>
            <w:r>
              <w:rPr>
                <w:rFonts w:ascii="Aptos" w:hAnsi="Aptos"/>
                <w:color w:val="202A33"/>
                <w:sz w:val="16"/>
              </w:rPr>
              <w:t>Block the payment.</w:t>
            </w:r>
          </w:p>
        </w:tc>
        <w:tc>
          <w:tcPr>
            <w:tcW w:type="dxa" w:w="4896"/>
            <w:vAlign w:val="center"/>
            <w:tcMar>
              <w:top w:w="95" w:type="dxa"/>
              <w:start w:w="110" w:type="dxa"/>
              <w:bottom w:w="95" w:type="dxa"/>
              <w:end w:w="110" w:type="dxa"/>
            </w:tcMar>
            <w:shd w:fill="EAF1F6" w:val="clear"/>
          </w:tcPr>
          <w:p>
            <w:pPr>
              <w:spacing w:after="0" w:line="240" w:lineRule="auto"/>
            </w:pPr>
            <w:r>
              <w:rPr>
                <w:rFonts w:ascii="Aptos" w:hAnsi="Aptos"/>
                <w:color w:val="202A33"/>
                <w:sz w:val="16"/>
              </w:rPr>
              <w:t>Stops fraud loss; a legitimate false decline has an assumed customer attrition cost.</w:t>
            </w:r>
          </w:p>
        </w:tc>
      </w:tr>
    </w:tbl>
    <w:p>
      <w:pPr>
        <w:spacing w:after="40"/>
      </w:pPr>
    </w:p>
    <w:p>
      <w:pPr>
        <w:pStyle w:val="Heading2"/>
        <w:keepNext/>
        <w:spacing w:before="160" w:after="100"/>
      </w:pPr>
      <w:r>
        <w:rPr>
          <w:rFonts w:ascii="Aptos" w:hAnsi="Aptos"/>
          <w:b/>
          <w:color w:val="000000"/>
          <w:sz w:val="25"/>
        </w:rPr>
        <w:t>Thresholds and review queue</w:t>
      </w:r>
    </w:p>
    <w:p>
      <w:pPr>
        <w:keepLines w:val="0"/>
        <w:spacing w:after="120" w:before="0" w:line="259" w:lineRule="auto"/>
      </w:pPr>
      <w:r>
        <w:rPr>
          <w:rFonts w:ascii="Aptos" w:hAnsi="Aptos"/>
          <w:color w:val="202A33"/>
          <w:sz w:val="20"/>
        </w:rPr>
        <w:t>For each score strategy, the pipeline considers four threshold sets. Values define the boundaries for challenge, review, and decline. The pipeline evaluates candidates on the training period and selects the one with the lowest modeled net economic cost. It then applies that chosen set once to the future holdout.</w:t>
      </w:r>
    </w:p>
    <w:tbl>
      <w:tblPr>
        <w:tblW w:type="auto" w:w="0"/>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W w:w="9936" w:type="dxa"/>
      </w:tblPr>
      <w:tblGrid>
        <w:gridCol w:w="3600"/>
        <w:gridCol w:w="2088"/>
        <w:gridCol w:w="2088"/>
        <w:gridCol w:w="2160"/>
      </w:tblGrid>
      <w:tr>
        <w:trPr>
          <w:tblHeader w:val="true"/>
          <w:cantSplit/>
        </w:trPr>
        <w:tc>
          <w:tcPr>
            <w:tcW w:type="dxa" w:w="3600"/>
            <w:vAlign w:val="center"/>
            <w:shd w:fill="18364D" w:val="clear"/>
            <w:tcMar>
              <w:top w:w="95" w:type="dxa"/>
              <w:start w:w="110" w:type="dxa"/>
              <w:bottom w:w="95" w:type="dxa"/>
              <w:end w:w="110" w:type="dxa"/>
            </w:tcMar>
          </w:tcPr>
          <w:p>
            <w:pPr>
              <w:spacing w:after="0" w:line="240" w:lineRule="auto"/>
            </w:pPr>
            <w:r>
              <w:rPr>
                <w:rFonts w:ascii="Aptos" w:hAnsi="Aptos"/>
                <w:b/>
                <w:color w:val="FFFFFF"/>
                <w:sz w:val="17"/>
              </w:rPr>
              <w:t>Candidate</w:t>
            </w:r>
          </w:p>
        </w:tc>
        <w:tc>
          <w:tcPr>
            <w:tcW w:type="dxa" w:w="2088"/>
            <w:vAlign w:val="center"/>
            <w:shd w:fill="18364D" w:val="clear"/>
            <w:tcMar>
              <w:top w:w="95" w:type="dxa"/>
              <w:start w:w="110" w:type="dxa"/>
              <w:bottom w:w="95" w:type="dxa"/>
              <w:end w:w="110" w:type="dxa"/>
            </w:tcMar>
          </w:tcPr>
          <w:p>
            <w:pPr>
              <w:spacing w:after="0" w:line="240" w:lineRule="auto"/>
            </w:pPr>
            <w:r>
              <w:rPr>
                <w:rFonts w:ascii="Aptos" w:hAnsi="Aptos"/>
                <w:b/>
                <w:color w:val="FFFFFF"/>
                <w:sz w:val="17"/>
              </w:rPr>
              <w:t>Challenge at</w:t>
            </w:r>
          </w:p>
        </w:tc>
        <w:tc>
          <w:tcPr>
            <w:tcW w:type="dxa" w:w="2088"/>
            <w:vAlign w:val="center"/>
            <w:shd w:fill="18364D" w:val="clear"/>
            <w:tcMar>
              <w:top w:w="95" w:type="dxa"/>
              <w:start w:w="110" w:type="dxa"/>
              <w:bottom w:w="95" w:type="dxa"/>
              <w:end w:w="110" w:type="dxa"/>
            </w:tcMar>
          </w:tcPr>
          <w:p>
            <w:pPr>
              <w:spacing w:after="0" w:line="240" w:lineRule="auto"/>
            </w:pPr>
            <w:r>
              <w:rPr>
                <w:rFonts w:ascii="Aptos" w:hAnsi="Aptos"/>
                <w:b/>
                <w:color w:val="FFFFFF"/>
                <w:sz w:val="17"/>
              </w:rPr>
              <w:t>Review at</w:t>
            </w:r>
          </w:p>
        </w:tc>
        <w:tc>
          <w:tcPr>
            <w:tcW w:type="dxa" w:w="2160"/>
            <w:vAlign w:val="center"/>
            <w:shd w:fill="18364D" w:val="clear"/>
            <w:tcMar>
              <w:top w:w="95" w:type="dxa"/>
              <w:start w:w="110" w:type="dxa"/>
              <w:bottom w:w="95" w:type="dxa"/>
              <w:end w:w="110" w:type="dxa"/>
            </w:tcMar>
          </w:tcPr>
          <w:p>
            <w:pPr>
              <w:spacing w:after="0" w:line="240" w:lineRule="auto"/>
            </w:pPr>
            <w:r>
              <w:rPr>
                <w:rFonts w:ascii="Aptos" w:hAnsi="Aptos"/>
                <w:b/>
                <w:color w:val="FFFFFF"/>
                <w:sz w:val="17"/>
              </w:rPr>
              <w:t>Decline at</w:t>
            </w:r>
          </w:p>
        </w:tc>
      </w:tr>
      <w:tr>
        <w:trPr>
          <w:cantSplit/>
        </w:trPr>
        <w:tc>
          <w:tcPr>
            <w:tcW w:type="dxa" w:w="3600"/>
            <w:vAlign w:val="center"/>
            <w:tcMar>
              <w:top w:w="95" w:type="dxa"/>
              <w:start w:w="110" w:type="dxa"/>
              <w:bottom w:w="95" w:type="dxa"/>
              <w:end w:w="110" w:type="dxa"/>
            </w:tcMar>
          </w:tcPr>
          <w:p>
            <w:pPr>
              <w:spacing w:after="0" w:line="240" w:lineRule="auto"/>
            </w:pPr>
            <w:r>
              <w:rPr>
                <w:rFonts w:ascii="Aptos" w:hAnsi="Aptos"/>
                <w:color w:val="202A33"/>
                <w:sz w:val="17"/>
              </w:rPr>
              <w:t>1</w:t>
            </w:r>
          </w:p>
        </w:tc>
        <w:tc>
          <w:tcPr>
            <w:tcW w:type="dxa" w:w="2088"/>
            <w:vAlign w:val="center"/>
            <w:tcMar>
              <w:top w:w="95" w:type="dxa"/>
              <w:start w:w="110" w:type="dxa"/>
              <w:bottom w:w="95" w:type="dxa"/>
              <w:end w:w="110" w:type="dxa"/>
            </w:tcMar>
          </w:tcPr>
          <w:p>
            <w:pPr>
              <w:spacing w:after="0" w:line="240" w:lineRule="auto"/>
            </w:pPr>
            <w:r>
              <w:rPr>
                <w:rFonts w:ascii="Aptos" w:hAnsi="Aptos"/>
                <w:color w:val="202A33"/>
                <w:sz w:val="17"/>
              </w:rPr>
              <w:t>0.20</w:t>
            </w:r>
          </w:p>
        </w:tc>
        <w:tc>
          <w:tcPr>
            <w:tcW w:type="dxa" w:w="2088"/>
            <w:vAlign w:val="center"/>
            <w:tcMar>
              <w:top w:w="95" w:type="dxa"/>
              <w:start w:w="110" w:type="dxa"/>
              <w:bottom w:w="95" w:type="dxa"/>
              <w:end w:w="110" w:type="dxa"/>
            </w:tcMar>
          </w:tcPr>
          <w:p>
            <w:pPr>
              <w:spacing w:after="0" w:line="240" w:lineRule="auto"/>
            </w:pPr>
            <w:r>
              <w:rPr>
                <w:rFonts w:ascii="Aptos" w:hAnsi="Aptos"/>
                <w:color w:val="202A33"/>
                <w:sz w:val="17"/>
              </w:rPr>
              <w:t>0.50</w:t>
            </w:r>
          </w:p>
        </w:tc>
        <w:tc>
          <w:tcPr>
            <w:tcW w:type="dxa" w:w="2160"/>
            <w:vAlign w:val="center"/>
            <w:tcMar>
              <w:top w:w="95" w:type="dxa"/>
              <w:start w:w="110" w:type="dxa"/>
              <w:bottom w:w="95" w:type="dxa"/>
              <w:end w:w="110" w:type="dxa"/>
            </w:tcMar>
          </w:tcPr>
          <w:p>
            <w:pPr>
              <w:spacing w:after="0" w:line="240" w:lineRule="auto"/>
            </w:pPr>
            <w:r>
              <w:rPr>
                <w:rFonts w:ascii="Aptos" w:hAnsi="Aptos"/>
                <w:color w:val="202A33"/>
                <w:sz w:val="17"/>
              </w:rPr>
              <w:t>0.80</w:t>
            </w:r>
          </w:p>
        </w:tc>
      </w:tr>
      <w:tr>
        <w:trPr>
          <w:cantSplit/>
        </w:trPr>
        <w:tc>
          <w:tcPr>
            <w:tcW w:type="dxa" w:w="3600"/>
            <w:vAlign w:val="center"/>
            <w:tcMar>
              <w:top w:w="95" w:type="dxa"/>
              <w:start w:w="110" w:type="dxa"/>
              <w:bottom w:w="95" w:type="dxa"/>
              <w:end w:w="110" w:type="dxa"/>
            </w:tcMar>
            <w:shd w:fill="EAF1F6" w:val="clear"/>
          </w:tcPr>
          <w:p>
            <w:pPr>
              <w:spacing w:after="0" w:line="240" w:lineRule="auto"/>
            </w:pPr>
            <w:r>
              <w:rPr>
                <w:rFonts w:ascii="Aptos" w:hAnsi="Aptos"/>
                <w:color w:val="202A33"/>
                <w:sz w:val="17"/>
              </w:rPr>
              <w:t>2</w:t>
            </w:r>
          </w:p>
        </w:tc>
        <w:tc>
          <w:tcPr>
            <w:tcW w:type="dxa" w:w="2088"/>
            <w:vAlign w:val="center"/>
            <w:tcMar>
              <w:top w:w="95" w:type="dxa"/>
              <w:start w:w="110" w:type="dxa"/>
              <w:bottom w:w="95" w:type="dxa"/>
              <w:end w:w="110" w:type="dxa"/>
            </w:tcMar>
            <w:shd w:fill="EAF1F6" w:val="clear"/>
          </w:tcPr>
          <w:p>
            <w:pPr>
              <w:spacing w:after="0" w:line="240" w:lineRule="auto"/>
            </w:pPr>
            <w:r>
              <w:rPr>
                <w:rFonts w:ascii="Aptos" w:hAnsi="Aptos"/>
                <w:color w:val="202A33"/>
                <w:sz w:val="17"/>
              </w:rPr>
              <w:t>0.30</w:t>
            </w:r>
          </w:p>
        </w:tc>
        <w:tc>
          <w:tcPr>
            <w:tcW w:type="dxa" w:w="2088"/>
            <w:vAlign w:val="center"/>
            <w:tcMar>
              <w:top w:w="95" w:type="dxa"/>
              <w:start w:w="110" w:type="dxa"/>
              <w:bottom w:w="95" w:type="dxa"/>
              <w:end w:w="110" w:type="dxa"/>
            </w:tcMar>
            <w:shd w:fill="EAF1F6" w:val="clear"/>
          </w:tcPr>
          <w:p>
            <w:pPr>
              <w:spacing w:after="0" w:line="240" w:lineRule="auto"/>
            </w:pPr>
            <w:r>
              <w:rPr>
                <w:rFonts w:ascii="Aptos" w:hAnsi="Aptos"/>
                <w:color w:val="202A33"/>
                <w:sz w:val="17"/>
              </w:rPr>
              <w:t>0.60</w:t>
            </w:r>
          </w:p>
        </w:tc>
        <w:tc>
          <w:tcPr>
            <w:tcW w:type="dxa" w:w="2160"/>
            <w:vAlign w:val="center"/>
            <w:tcMar>
              <w:top w:w="95" w:type="dxa"/>
              <w:start w:w="110" w:type="dxa"/>
              <w:bottom w:w="95" w:type="dxa"/>
              <w:end w:w="110" w:type="dxa"/>
            </w:tcMar>
            <w:shd w:fill="EAF1F6" w:val="clear"/>
          </w:tcPr>
          <w:p>
            <w:pPr>
              <w:spacing w:after="0" w:line="240" w:lineRule="auto"/>
            </w:pPr>
            <w:r>
              <w:rPr>
                <w:rFonts w:ascii="Aptos" w:hAnsi="Aptos"/>
                <w:color w:val="202A33"/>
                <w:sz w:val="17"/>
              </w:rPr>
              <w:t>0.90</w:t>
            </w:r>
          </w:p>
        </w:tc>
      </w:tr>
      <w:tr>
        <w:trPr>
          <w:cantSplit/>
        </w:trPr>
        <w:tc>
          <w:tcPr>
            <w:tcW w:type="dxa" w:w="3600"/>
            <w:vAlign w:val="center"/>
            <w:tcMar>
              <w:top w:w="95" w:type="dxa"/>
              <w:start w:w="110" w:type="dxa"/>
              <w:bottom w:w="95" w:type="dxa"/>
              <w:end w:w="110" w:type="dxa"/>
            </w:tcMar>
          </w:tcPr>
          <w:p>
            <w:pPr>
              <w:spacing w:after="0" w:line="240" w:lineRule="auto"/>
            </w:pPr>
            <w:r>
              <w:rPr>
                <w:rFonts w:ascii="Aptos" w:hAnsi="Aptos"/>
                <w:color w:val="202A33"/>
                <w:sz w:val="17"/>
              </w:rPr>
              <w:t>3</w:t>
            </w:r>
          </w:p>
        </w:tc>
        <w:tc>
          <w:tcPr>
            <w:tcW w:type="dxa" w:w="2088"/>
            <w:vAlign w:val="center"/>
            <w:tcMar>
              <w:top w:w="95" w:type="dxa"/>
              <w:start w:w="110" w:type="dxa"/>
              <w:bottom w:w="95" w:type="dxa"/>
              <w:end w:w="110" w:type="dxa"/>
            </w:tcMar>
          </w:tcPr>
          <w:p>
            <w:pPr>
              <w:spacing w:after="0" w:line="240" w:lineRule="auto"/>
            </w:pPr>
            <w:r>
              <w:rPr>
                <w:rFonts w:ascii="Aptos" w:hAnsi="Aptos"/>
                <w:color w:val="202A33"/>
                <w:sz w:val="17"/>
              </w:rPr>
              <w:t>0.40</w:t>
            </w:r>
          </w:p>
        </w:tc>
        <w:tc>
          <w:tcPr>
            <w:tcW w:type="dxa" w:w="2088"/>
            <w:vAlign w:val="center"/>
            <w:tcMar>
              <w:top w:w="95" w:type="dxa"/>
              <w:start w:w="110" w:type="dxa"/>
              <w:bottom w:w="95" w:type="dxa"/>
              <w:end w:w="110" w:type="dxa"/>
            </w:tcMar>
          </w:tcPr>
          <w:p>
            <w:pPr>
              <w:spacing w:after="0" w:line="240" w:lineRule="auto"/>
            </w:pPr>
            <w:r>
              <w:rPr>
                <w:rFonts w:ascii="Aptos" w:hAnsi="Aptos"/>
                <w:color w:val="202A33"/>
                <w:sz w:val="17"/>
              </w:rPr>
              <w:t>0.70</w:t>
            </w:r>
          </w:p>
        </w:tc>
        <w:tc>
          <w:tcPr>
            <w:tcW w:type="dxa" w:w="2160"/>
            <w:vAlign w:val="center"/>
            <w:tcMar>
              <w:top w:w="95" w:type="dxa"/>
              <w:start w:w="110" w:type="dxa"/>
              <w:bottom w:w="95" w:type="dxa"/>
              <w:end w:w="110" w:type="dxa"/>
            </w:tcMar>
          </w:tcPr>
          <w:p>
            <w:pPr>
              <w:spacing w:after="0" w:line="240" w:lineRule="auto"/>
            </w:pPr>
            <w:r>
              <w:rPr>
                <w:rFonts w:ascii="Aptos" w:hAnsi="Aptos"/>
                <w:color w:val="202A33"/>
                <w:sz w:val="17"/>
              </w:rPr>
              <w:t>0.95</w:t>
            </w:r>
          </w:p>
        </w:tc>
      </w:tr>
      <w:tr>
        <w:trPr>
          <w:cantSplit/>
        </w:trPr>
        <w:tc>
          <w:tcPr>
            <w:tcW w:type="dxa" w:w="3600"/>
            <w:vAlign w:val="center"/>
            <w:tcMar>
              <w:top w:w="95" w:type="dxa"/>
              <w:start w:w="110" w:type="dxa"/>
              <w:bottom w:w="95" w:type="dxa"/>
              <w:end w:w="110" w:type="dxa"/>
            </w:tcMar>
            <w:shd w:fill="EAF1F6" w:val="clear"/>
          </w:tcPr>
          <w:p>
            <w:pPr>
              <w:spacing w:after="0" w:line="240" w:lineRule="auto"/>
            </w:pPr>
            <w:r>
              <w:rPr>
                <w:rFonts w:ascii="Aptos" w:hAnsi="Aptos"/>
                <w:color w:val="202A33"/>
                <w:sz w:val="17"/>
              </w:rPr>
              <w:t>4</w:t>
            </w:r>
          </w:p>
        </w:tc>
        <w:tc>
          <w:tcPr>
            <w:tcW w:type="dxa" w:w="2088"/>
            <w:vAlign w:val="center"/>
            <w:tcMar>
              <w:top w:w="95" w:type="dxa"/>
              <w:start w:w="110" w:type="dxa"/>
              <w:bottom w:w="95" w:type="dxa"/>
              <w:end w:w="110" w:type="dxa"/>
            </w:tcMar>
            <w:shd w:fill="EAF1F6" w:val="clear"/>
          </w:tcPr>
          <w:p>
            <w:pPr>
              <w:spacing w:after="0" w:line="240" w:lineRule="auto"/>
            </w:pPr>
            <w:r>
              <w:rPr>
                <w:rFonts w:ascii="Aptos" w:hAnsi="Aptos"/>
                <w:color w:val="202A33"/>
                <w:sz w:val="17"/>
              </w:rPr>
              <w:t>0.50</w:t>
            </w:r>
          </w:p>
        </w:tc>
        <w:tc>
          <w:tcPr>
            <w:tcW w:type="dxa" w:w="2088"/>
            <w:vAlign w:val="center"/>
            <w:tcMar>
              <w:top w:w="95" w:type="dxa"/>
              <w:start w:w="110" w:type="dxa"/>
              <w:bottom w:w="95" w:type="dxa"/>
              <w:end w:w="110" w:type="dxa"/>
            </w:tcMar>
            <w:shd w:fill="EAF1F6" w:val="clear"/>
          </w:tcPr>
          <w:p>
            <w:pPr>
              <w:spacing w:after="0" w:line="240" w:lineRule="auto"/>
            </w:pPr>
            <w:r>
              <w:rPr>
                <w:rFonts w:ascii="Aptos" w:hAnsi="Aptos"/>
                <w:color w:val="202A33"/>
                <w:sz w:val="17"/>
              </w:rPr>
              <w:t>0.80</w:t>
            </w:r>
          </w:p>
        </w:tc>
        <w:tc>
          <w:tcPr>
            <w:tcW w:type="dxa" w:w="2160"/>
            <w:vAlign w:val="center"/>
            <w:tcMar>
              <w:top w:w="95" w:type="dxa"/>
              <w:start w:w="110" w:type="dxa"/>
              <w:bottom w:w="95" w:type="dxa"/>
              <w:end w:w="110" w:type="dxa"/>
            </w:tcMar>
            <w:shd w:fill="EAF1F6" w:val="clear"/>
          </w:tcPr>
          <w:p>
            <w:pPr>
              <w:spacing w:after="0" w:line="240" w:lineRule="auto"/>
            </w:pPr>
            <w:r>
              <w:rPr>
                <w:rFonts w:ascii="Aptos" w:hAnsi="Aptos"/>
                <w:color w:val="202A33"/>
                <w:sz w:val="17"/>
              </w:rPr>
              <w:t>0.97</w:t>
            </w:r>
          </w:p>
        </w:tc>
      </w:tr>
    </w:tbl>
    <w:p>
      <w:pPr>
        <w:spacing w:after="40"/>
      </w:pPr>
    </w:p>
    <w:p>
      <w:pPr>
        <w:keepLines w:val="0"/>
        <w:spacing w:after="120" w:before="0" w:line="259" w:lineRule="auto"/>
      </w:pPr>
      <w:r>
        <w:rPr>
          <w:rFonts w:ascii="Aptos" w:hAnsi="Aptos"/>
          <w:color w:val="202A33"/>
          <w:sz w:val="20"/>
        </w:rPr>
        <w:t>On each day, the highest-scoring review candidates are sent to the human queue up to the daily capacity, which defaults to 250. Lower-ranked candidates that would have been reviewed are changed to CHALLENGE and marked as capacity overflow. Capacity sensitivity reruns decisions with limits of 10, 50, 150, 250, and 500 cases per day.</w:t>
      </w:r>
    </w:p>
    <w:p>
      <w:pPr>
        <w:pStyle w:val="Heading2"/>
        <w:keepNext/>
        <w:spacing w:before="160" w:after="100"/>
      </w:pPr>
      <w:r>
        <w:rPr>
          <w:rFonts w:ascii="Aptos" w:hAnsi="Aptos"/>
          <w:b/>
          <w:color w:val="000000"/>
          <w:sz w:val="25"/>
        </w:rPr>
        <w:t>Fictional cost model</w:t>
      </w:r>
    </w:p>
    <w:tbl>
      <w:tblPr>
        <w:tblW w:type="auto" w:w="0"/>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W w:w="9936" w:type="dxa"/>
      </w:tblPr>
      <w:tblGrid>
        <w:gridCol w:w="3384"/>
        <w:gridCol w:w="6552"/>
      </w:tblGrid>
      <w:tr>
        <w:trPr>
          <w:tblHeader w:val="true"/>
          <w:cantSplit/>
        </w:trPr>
        <w:tc>
          <w:tcPr>
            <w:tcW w:type="dxa" w:w="3384"/>
            <w:vAlign w:val="center"/>
            <w:shd w:fill="18364D" w:val="clear"/>
            <w:tcMar>
              <w:top w:w="95" w:type="dxa"/>
              <w:start w:w="110" w:type="dxa"/>
              <w:bottom w:w="95" w:type="dxa"/>
              <w:end w:w="110" w:type="dxa"/>
            </w:tcMar>
          </w:tcPr>
          <w:p>
            <w:pPr>
              <w:spacing w:after="0" w:line="240" w:lineRule="auto"/>
            </w:pPr>
            <w:r>
              <w:rPr>
                <w:rFonts w:ascii="Aptos" w:hAnsi="Aptos"/>
                <w:b/>
                <w:color w:val="FFFFFF"/>
                <w:sz w:val="16"/>
              </w:rPr>
              <w:t>Outcome</w:t>
            </w:r>
          </w:p>
        </w:tc>
        <w:tc>
          <w:tcPr>
            <w:tcW w:type="dxa" w:w="6552"/>
            <w:vAlign w:val="center"/>
            <w:shd w:fill="18364D" w:val="clear"/>
            <w:tcMar>
              <w:top w:w="95" w:type="dxa"/>
              <w:start w:w="110" w:type="dxa"/>
              <w:bottom w:w="95" w:type="dxa"/>
              <w:end w:w="110" w:type="dxa"/>
            </w:tcMar>
          </w:tcPr>
          <w:p>
            <w:pPr>
              <w:spacing w:after="0" w:line="240" w:lineRule="auto"/>
            </w:pPr>
            <w:r>
              <w:rPr>
                <w:rFonts w:ascii="Aptos" w:hAnsi="Aptos"/>
                <w:b/>
                <w:color w:val="FFFFFF"/>
                <w:sz w:val="16"/>
              </w:rPr>
              <w:t>Modeled cost</w:t>
            </w:r>
          </w:p>
        </w:tc>
      </w:tr>
      <w:tr>
        <w:trPr>
          <w:cantSplit/>
        </w:trPr>
        <w:tc>
          <w:tcPr>
            <w:tcW w:type="dxa" w:w="3384"/>
            <w:vAlign w:val="center"/>
            <w:tcMar>
              <w:top w:w="95" w:type="dxa"/>
              <w:start w:w="110" w:type="dxa"/>
              <w:bottom w:w="95" w:type="dxa"/>
              <w:end w:w="110" w:type="dxa"/>
            </w:tcMar>
          </w:tcPr>
          <w:p>
            <w:pPr>
              <w:spacing w:after="0" w:line="240" w:lineRule="auto"/>
            </w:pPr>
            <w:r>
              <w:rPr>
                <w:rFonts w:ascii="Aptos" w:hAnsi="Aptos"/>
                <w:color w:val="202A33"/>
                <w:sz w:val="16"/>
              </w:rPr>
              <w:t>Fraud approved</w:t>
            </w:r>
          </w:p>
        </w:tc>
        <w:tc>
          <w:tcPr>
            <w:tcW w:type="dxa" w:w="6552"/>
            <w:vAlign w:val="center"/>
            <w:tcMar>
              <w:top w:w="95" w:type="dxa"/>
              <w:start w:w="110" w:type="dxa"/>
              <w:bottom w:w="95" w:type="dxa"/>
              <w:end w:w="110" w:type="dxa"/>
            </w:tcMar>
          </w:tcPr>
          <w:p>
            <w:pPr>
              <w:spacing w:after="0" w:line="240" w:lineRule="auto"/>
            </w:pPr>
            <w:r>
              <w:rPr>
                <w:rFonts w:ascii="Aptos" w:hAnsi="Aptos"/>
                <w:color w:val="202A33"/>
                <w:sz w:val="16"/>
              </w:rPr>
              <w:t>Amount + $25 chargeback fee.</w:t>
            </w:r>
          </w:p>
        </w:tc>
      </w:tr>
      <w:tr>
        <w:trPr>
          <w:cantSplit/>
        </w:trPr>
        <w:tc>
          <w:tcPr>
            <w:tcW w:type="dxa" w:w="3384"/>
            <w:vAlign w:val="center"/>
            <w:tcMar>
              <w:top w:w="95" w:type="dxa"/>
              <w:start w:w="110" w:type="dxa"/>
              <w:bottom w:w="95" w:type="dxa"/>
              <w:end w:w="110" w:type="dxa"/>
            </w:tcMar>
            <w:shd w:fill="EAF1F6" w:val="clear"/>
          </w:tcPr>
          <w:p>
            <w:pPr>
              <w:spacing w:after="0" w:line="240" w:lineRule="auto"/>
            </w:pPr>
            <w:r>
              <w:rPr>
                <w:rFonts w:ascii="Aptos" w:hAnsi="Aptos"/>
                <w:color w:val="202A33"/>
                <w:sz w:val="16"/>
              </w:rPr>
              <w:t>Fraud challenged</w:t>
            </w:r>
          </w:p>
        </w:tc>
        <w:tc>
          <w:tcPr>
            <w:tcW w:type="dxa" w:w="6552"/>
            <w:vAlign w:val="center"/>
            <w:tcMar>
              <w:top w:w="95" w:type="dxa"/>
              <w:start w:w="110" w:type="dxa"/>
              <w:bottom w:w="95" w:type="dxa"/>
              <w:end w:w="110" w:type="dxa"/>
            </w:tcMar>
            <w:shd w:fill="EAF1F6" w:val="clear"/>
          </w:tcPr>
          <w:p>
            <w:pPr>
              <w:spacing w:after="0" w:line="240" w:lineRule="auto"/>
            </w:pPr>
            <w:r>
              <w:rPr>
                <w:rFonts w:ascii="Aptos" w:hAnsi="Aptos"/>
                <w:color w:val="202A33"/>
                <w:sz w:val="16"/>
              </w:rPr>
              <w:t>Amount × (1 − challenge stop probability) + $0.40.</w:t>
            </w:r>
          </w:p>
        </w:tc>
      </w:tr>
      <w:tr>
        <w:trPr>
          <w:cantSplit/>
        </w:trPr>
        <w:tc>
          <w:tcPr>
            <w:tcW w:type="dxa" w:w="3384"/>
            <w:vAlign w:val="center"/>
            <w:tcMar>
              <w:top w:w="95" w:type="dxa"/>
              <w:start w:w="110" w:type="dxa"/>
              <w:bottom w:w="95" w:type="dxa"/>
              <w:end w:w="110" w:type="dxa"/>
            </w:tcMar>
          </w:tcPr>
          <w:p>
            <w:pPr>
              <w:spacing w:after="0" w:line="240" w:lineRule="auto"/>
            </w:pPr>
            <w:r>
              <w:rPr>
                <w:rFonts w:ascii="Aptos" w:hAnsi="Aptos"/>
                <w:color w:val="202A33"/>
                <w:sz w:val="16"/>
              </w:rPr>
              <w:t>Fraud reviewed</w:t>
            </w:r>
          </w:p>
        </w:tc>
        <w:tc>
          <w:tcPr>
            <w:tcW w:type="dxa" w:w="6552"/>
            <w:vAlign w:val="center"/>
            <w:tcMar>
              <w:top w:w="95" w:type="dxa"/>
              <w:start w:w="110" w:type="dxa"/>
              <w:bottom w:w="95" w:type="dxa"/>
              <w:end w:w="110" w:type="dxa"/>
            </w:tcMar>
          </w:tcPr>
          <w:p>
            <w:pPr>
              <w:spacing w:after="0" w:line="240" w:lineRule="auto"/>
            </w:pPr>
            <w:r>
              <w:rPr>
                <w:rFonts w:ascii="Aptos" w:hAnsi="Aptos"/>
                <w:color w:val="202A33"/>
                <w:sz w:val="16"/>
              </w:rPr>
              <w:t>Amount × (1 − review recovery probability) + $4.50.</w:t>
            </w:r>
          </w:p>
        </w:tc>
      </w:tr>
      <w:tr>
        <w:trPr>
          <w:cantSplit/>
        </w:trPr>
        <w:tc>
          <w:tcPr>
            <w:tcW w:type="dxa" w:w="3384"/>
            <w:vAlign w:val="center"/>
            <w:tcMar>
              <w:top w:w="95" w:type="dxa"/>
              <w:start w:w="110" w:type="dxa"/>
              <w:bottom w:w="95" w:type="dxa"/>
              <w:end w:w="110" w:type="dxa"/>
            </w:tcMar>
            <w:shd w:fill="EAF1F6" w:val="clear"/>
          </w:tcPr>
          <w:p>
            <w:pPr>
              <w:spacing w:after="0" w:line="240" w:lineRule="auto"/>
            </w:pPr>
            <w:r>
              <w:rPr>
                <w:rFonts w:ascii="Aptos" w:hAnsi="Aptos"/>
                <w:color w:val="202A33"/>
                <w:sz w:val="16"/>
              </w:rPr>
              <w:t>Fraud declined</w:t>
            </w:r>
          </w:p>
        </w:tc>
        <w:tc>
          <w:tcPr>
            <w:tcW w:type="dxa" w:w="6552"/>
            <w:vAlign w:val="center"/>
            <w:tcMar>
              <w:top w:w="95" w:type="dxa"/>
              <w:start w:w="110" w:type="dxa"/>
              <w:bottom w:w="95" w:type="dxa"/>
              <w:end w:w="110" w:type="dxa"/>
            </w:tcMar>
            <w:shd w:fill="EAF1F6" w:val="clear"/>
          </w:tcPr>
          <w:p>
            <w:pPr>
              <w:spacing w:after="0" w:line="240" w:lineRule="auto"/>
            </w:pPr>
            <w:r>
              <w:rPr>
                <w:rFonts w:ascii="Aptos" w:hAnsi="Aptos"/>
                <w:color w:val="202A33"/>
                <w:sz w:val="16"/>
              </w:rPr>
              <w:t>$0 fraud cost in this simplified model.</w:t>
            </w:r>
          </w:p>
        </w:tc>
      </w:tr>
      <w:tr>
        <w:trPr>
          <w:cantSplit/>
        </w:trPr>
        <w:tc>
          <w:tcPr>
            <w:tcW w:type="dxa" w:w="3384"/>
            <w:vAlign w:val="center"/>
            <w:tcMar>
              <w:top w:w="95" w:type="dxa"/>
              <w:start w:w="110" w:type="dxa"/>
              <w:bottom w:w="95" w:type="dxa"/>
              <w:end w:w="110" w:type="dxa"/>
            </w:tcMar>
          </w:tcPr>
          <w:p>
            <w:pPr>
              <w:spacing w:after="0" w:line="240" w:lineRule="auto"/>
            </w:pPr>
            <w:r>
              <w:rPr>
                <w:rFonts w:ascii="Aptos" w:hAnsi="Aptos"/>
                <w:color w:val="202A33"/>
                <w:sz w:val="16"/>
              </w:rPr>
              <w:t>Legitimate approved</w:t>
            </w:r>
          </w:p>
        </w:tc>
        <w:tc>
          <w:tcPr>
            <w:tcW w:type="dxa" w:w="6552"/>
            <w:vAlign w:val="center"/>
            <w:tcMar>
              <w:top w:w="95" w:type="dxa"/>
              <w:start w:w="110" w:type="dxa"/>
              <w:bottom w:w="95" w:type="dxa"/>
              <w:end w:w="110" w:type="dxa"/>
            </w:tcMar>
          </w:tcPr>
          <w:p>
            <w:pPr>
              <w:spacing w:after="0" w:line="240" w:lineRule="auto"/>
            </w:pPr>
            <w:r>
              <w:rPr>
                <w:rFonts w:ascii="Aptos" w:hAnsi="Aptos"/>
                <w:color w:val="202A33"/>
                <w:sz w:val="16"/>
              </w:rPr>
              <w:t>Negative cost equal to amount × 1.1% margin.</w:t>
            </w:r>
          </w:p>
        </w:tc>
      </w:tr>
      <w:tr>
        <w:trPr>
          <w:cantSplit/>
        </w:trPr>
        <w:tc>
          <w:tcPr>
            <w:tcW w:type="dxa" w:w="3384"/>
            <w:vAlign w:val="center"/>
            <w:tcMar>
              <w:top w:w="95" w:type="dxa"/>
              <w:start w:w="110" w:type="dxa"/>
              <w:bottom w:w="95" w:type="dxa"/>
              <w:end w:w="110" w:type="dxa"/>
            </w:tcMar>
            <w:shd w:fill="EAF1F6" w:val="clear"/>
          </w:tcPr>
          <w:p>
            <w:pPr>
              <w:spacing w:after="0" w:line="240" w:lineRule="auto"/>
            </w:pPr>
            <w:r>
              <w:rPr>
                <w:rFonts w:ascii="Aptos" w:hAnsi="Aptos"/>
                <w:color w:val="202A33"/>
                <w:sz w:val="16"/>
              </w:rPr>
              <w:t>Legitimate challenged or reviewed</w:t>
            </w:r>
          </w:p>
        </w:tc>
        <w:tc>
          <w:tcPr>
            <w:tcW w:type="dxa" w:w="6552"/>
            <w:vAlign w:val="center"/>
            <w:tcMar>
              <w:top w:w="95" w:type="dxa"/>
              <w:start w:w="110" w:type="dxa"/>
              <w:bottom w:w="95" w:type="dxa"/>
              <w:end w:w="110" w:type="dxa"/>
            </w:tcMar>
            <w:shd w:fill="EAF1F6" w:val="clear"/>
          </w:tcPr>
          <w:p>
            <w:pPr>
              <w:spacing w:after="0" w:line="240" w:lineRule="auto"/>
            </w:pPr>
            <w:r>
              <w:rPr>
                <w:rFonts w:ascii="Aptos" w:hAnsi="Aptos"/>
                <w:color w:val="202A33"/>
                <w:sz w:val="16"/>
              </w:rPr>
              <w:t>$0.40 challenge cost or $4.50 review cost.</w:t>
            </w:r>
          </w:p>
        </w:tc>
      </w:tr>
      <w:tr>
        <w:trPr>
          <w:cantSplit/>
        </w:trPr>
        <w:tc>
          <w:tcPr>
            <w:tcW w:type="dxa" w:w="3384"/>
            <w:vAlign w:val="center"/>
            <w:tcMar>
              <w:top w:w="95" w:type="dxa"/>
              <w:start w:w="110" w:type="dxa"/>
              <w:bottom w:w="95" w:type="dxa"/>
              <w:end w:w="110" w:type="dxa"/>
            </w:tcMar>
          </w:tcPr>
          <w:p>
            <w:pPr>
              <w:spacing w:after="0" w:line="240" w:lineRule="auto"/>
            </w:pPr>
            <w:r>
              <w:rPr>
                <w:rFonts w:ascii="Aptos" w:hAnsi="Aptos"/>
                <w:color w:val="202A33"/>
                <w:sz w:val="16"/>
              </w:rPr>
              <w:t>Legitimate declined</w:t>
            </w:r>
          </w:p>
        </w:tc>
        <w:tc>
          <w:tcPr>
            <w:tcW w:type="dxa" w:w="6552"/>
            <w:vAlign w:val="center"/>
            <w:tcMar>
              <w:top w:w="95" w:type="dxa"/>
              <w:start w:w="110" w:type="dxa"/>
              <w:bottom w:w="95" w:type="dxa"/>
              <w:end w:w="110" w:type="dxa"/>
            </w:tcMar>
          </w:tcPr>
          <w:p>
            <w:pPr>
              <w:spacing w:after="0" w:line="240" w:lineRule="auto"/>
            </w:pPr>
            <w:r>
              <w:rPr>
                <w:rFonts w:ascii="Aptos" w:hAnsi="Aptos"/>
                <w:color w:val="202A33"/>
                <w:sz w:val="16"/>
              </w:rPr>
              <w:t>5% × $500 customer lifetime value + lost 1.1% margin.</w:t>
            </w:r>
          </w:p>
        </w:tc>
      </w:tr>
    </w:tbl>
    <w:p>
      <w:pPr>
        <w:spacing w:after="40"/>
      </w:pPr>
    </w:p>
    <w:p>
      <w:pPr>
        <w:keepLines w:val="0"/>
        <w:spacing w:after="120" w:before="0" w:line="259" w:lineRule="auto"/>
      </w:pPr>
      <w:r>
        <w:rPr>
          <w:rFonts w:ascii="Aptos" w:hAnsi="Aptos"/>
          <w:color w:val="202A33"/>
          <w:sz w:val="20"/>
        </w:rPr>
        <w:t>A negative net cost means that modeled payment margin exceeds the modeled losses and friction costs in this scenario. It is not a claim that the real business would earn that profit. Challenge success, fraud recovery, customer attrition, lifetime value, and margin are uncalibrated assumptions.</w:t>
      </w:r>
    </w:p>
    <w:p>
      <w:pPr>
        <w:pStyle w:val="Heading1"/>
        <w:keepNext/>
        <w:spacing w:before="240" w:after="100"/>
      </w:pPr>
      <w:r>
        <w:rPr>
          <w:rFonts w:ascii="Aptos" w:hAnsi="Aptos"/>
          <w:b/>
          <w:color w:val="000000"/>
          <w:sz w:val="34"/>
        </w:rPr>
        <w:t>10  Evaluation Results and How to Read Them</w:t>
      </w:r>
    </w:p>
    <w:p>
      <w:pPr>
        <w:pStyle w:val="Heading2"/>
        <w:keepNext/>
        <w:spacing w:before="160" w:after="100"/>
      </w:pPr>
      <w:r>
        <w:rPr>
          <w:rFonts w:ascii="Aptos" w:hAnsi="Aptos"/>
          <w:b/>
          <w:color w:val="000000"/>
          <w:sz w:val="25"/>
        </w:rPr>
        <w:t>Temporal split</w:t>
      </w:r>
    </w:p>
    <w:p>
      <w:pPr>
        <w:keepLines w:val="0"/>
        <w:spacing w:after="120" w:before="0" w:line="259" w:lineRule="auto"/>
      </w:pPr>
      <w:r>
        <w:rPr>
          <w:rFonts w:ascii="Aptos" w:hAnsi="Aptos"/>
          <w:color w:val="202A33"/>
          <w:sz w:val="20"/>
        </w:rPr>
        <w:t>The pipeline sorts the unique dates, assigns the first 70% to training, and reserves the latest 30% for holdout evaluation. In the published 60-day run, the holdout starts February 12, 2026. The default seed's test set contains 74,237 events and 350 simulated fraud cases. The full run has 246,314 transactions and 700 simulated fraud cases. Using a future period helps reflect changes over time better than a random row split would.</w:t>
      </w:r>
    </w:p>
    <w:p>
      <w:pPr>
        <w:pStyle w:val="Heading2"/>
        <w:keepNext/>
        <w:spacing w:before="160" w:after="100"/>
      </w:pPr>
      <w:r>
        <w:rPr>
          <w:rFonts w:ascii="Aptos" w:hAnsi="Aptos"/>
          <w:b/>
          <w:color w:val="000000"/>
          <w:sz w:val="25"/>
        </w:rPr>
        <w:t>Main held-out comparison</w:t>
      </w:r>
    </w:p>
    <w:tbl>
      <w:tblPr>
        <w:tblW w:type="auto" w:w="0"/>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W w:w="8640" w:type="dxa"/>
      </w:tblPr>
      <w:tblGrid>
        <w:gridCol w:w="1800"/>
        <w:gridCol w:w="1800"/>
        <w:gridCol w:w="1296"/>
        <w:gridCol w:w="2016"/>
        <w:gridCol w:w="1728"/>
      </w:tblGrid>
      <w:tr>
        <w:trPr>
          <w:tblHeader w:val="true"/>
          <w:cantSplit/>
        </w:trPr>
        <w:tc>
          <w:tcPr>
            <w:tcW w:type="dxa" w:w="1800"/>
            <w:vAlign w:val="center"/>
            <w:shd w:fill="18364D" w:val="clear"/>
            <w:tcMar>
              <w:top w:w="95" w:type="dxa"/>
              <w:start w:w="110" w:type="dxa"/>
              <w:bottom w:w="95" w:type="dxa"/>
              <w:end w:w="110" w:type="dxa"/>
            </w:tcMar>
          </w:tcPr>
          <w:p>
            <w:pPr>
              <w:spacing w:after="0" w:line="240" w:lineRule="auto"/>
            </w:pPr>
            <w:r>
              <w:rPr>
                <w:rFonts w:ascii="Aptos" w:hAnsi="Aptos"/>
                <w:b/>
                <w:color w:val="FFFFFF"/>
                <w:sz w:val="15"/>
              </w:rPr>
              <w:t>Strategy</w:t>
            </w:r>
          </w:p>
        </w:tc>
        <w:tc>
          <w:tcPr>
            <w:tcW w:type="dxa" w:w="1800"/>
            <w:vAlign w:val="center"/>
            <w:shd w:fill="18364D" w:val="clear"/>
            <w:tcMar>
              <w:top w:w="95" w:type="dxa"/>
              <w:start w:w="110" w:type="dxa"/>
              <w:bottom w:w="95" w:type="dxa"/>
              <w:end w:w="110" w:type="dxa"/>
            </w:tcMar>
          </w:tcPr>
          <w:p>
            <w:pPr>
              <w:spacing w:after="0" w:line="240" w:lineRule="auto"/>
            </w:pPr>
            <w:r>
              <w:rPr>
                <w:rFonts w:ascii="Aptos" w:hAnsi="Aptos"/>
                <w:b/>
                <w:color w:val="FFFFFF"/>
                <w:sz w:val="15"/>
              </w:rPr>
              <w:t>Fraud value captured</w:t>
            </w:r>
          </w:p>
        </w:tc>
        <w:tc>
          <w:tcPr>
            <w:tcW w:type="dxa" w:w="1296"/>
            <w:vAlign w:val="center"/>
            <w:shd w:fill="18364D" w:val="clear"/>
            <w:tcMar>
              <w:top w:w="95" w:type="dxa"/>
              <w:start w:w="110" w:type="dxa"/>
              <w:bottom w:w="95" w:type="dxa"/>
              <w:end w:w="110" w:type="dxa"/>
            </w:tcMar>
          </w:tcPr>
          <w:p>
            <w:pPr>
              <w:spacing w:after="0" w:line="240" w:lineRule="auto"/>
            </w:pPr>
            <w:r>
              <w:rPr>
                <w:rFonts w:ascii="Aptos" w:hAnsi="Aptos"/>
                <w:b/>
                <w:color w:val="FFFFFF"/>
                <w:sz w:val="15"/>
              </w:rPr>
              <w:t>False declines</w:t>
            </w:r>
          </w:p>
        </w:tc>
        <w:tc>
          <w:tcPr>
            <w:tcW w:type="dxa" w:w="2016"/>
            <w:vAlign w:val="center"/>
            <w:shd w:fill="18364D" w:val="clear"/>
            <w:tcMar>
              <w:top w:w="95" w:type="dxa"/>
              <w:start w:w="110" w:type="dxa"/>
              <w:bottom w:w="95" w:type="dxa"/>
              <w:end w:w="110" w:type="dxa"/>
            </w:tcMar>
          </w:tcPr>
          <w:p>
            <w:pPr>
              <w:spacing w:after="0" w:line="240" w:lineRule="auto"/>
            </w:pPr>
            <w:r>
              <w:rPr>
                <w:rFonts w:ascii="Aptos" w:hAnsi="Aptos"/>
                <w:b/>
                <w:color w:val="FFFFFF"/>
                <w:sz w:val="15"/>
              </w:rPr>
              <w:t>Net modeled cost</w:t>
            </w:r>
          </w:p>
        </w:tc>
        <w:tc>
          <w:tcPr>
            <w:tcW w:type="dxa" w:w="1728"/>
            <w:vAlign w:val="center"/>
            <w:shd w:fill="18364D" w:val="clear"/>
            <w:tcMar>
              <w:top w:w="95" w:type="dxa"/>
              <w:start w:w="110" w:type="dxa"/>
              <w:bottom w:w="95" w:type="dxa"/>
              <w:end w:w="110" w:type="dxa"/>
            </w:tcMar>
          </w:tcPr>
          <w:p>
            <w:pPr>
              <w:spacing w:after="0" w:line="240" w:lineRule="auto"/>
            </w:pPr>
            <w:r>
              <w:rPr>
                <w:rFonts w:ascii="Aptos" w:hAnsi="Aptos"/>
                <w:b/>
                <w:color w:val="FFFFFF"/>
                <w:sz w:val="15"/>
              </w:rPr>
              <w:t>PR-AUC</w:t>
            </w:r>
          </w:p>
        </w:tc>
      </w:tr>
      <w:tr>
        <w:trPr>
          <w:cantSplit/>
        </w:trPr>
        <w:tc>
          <w:tcPr>
            <w:tcW w:type="dxa" w:w="1800"/>
            <w:vAlign w:val="center"/>
            <w:tcMar>
              <w:top w:w="95" w:type="dxa"/>
              <w:start w:w="110" w:type="dxa"/>
              <w:bottom w:w="95" w:type="dxa"/>
              <w:end w:w="110" w:type="dxa"/>
            </w:tcMar>
          </w:tcPr>
          <w:p>
            <w:pPr>
              <w:spacing w:after="0" w:line="240" w:lineRule="auto"/>
            </w:pPr>
            <w:r>
              <w:rPr>
                <w:rFonts w:ascii="Aptos" w:hAnsi="Aptos"/>
                <w:color w:val="202A33"/>
                <w:sz w:val="15"/>
              </w:rPr>
              <w:t>Incumbent</w:t>
            </w:r>
          </w:p>
        </w:tc>
        <w:tc>
          <w:tcPr>
            <w:tcW w:type="dxa" w:w="1800"/>
            <w:vAlign w:val="center"/>
            <w:tcMar>
              <w:top w:w="95" w:type="dxa"/>
              <w:start w:w="110" w:type="dxa"/>
              <w:bottom w:w="95" w:type="dxa"/>
              <w:end w:w="110" w:type="dxa"/>
            </w:tcMar>
          </w:tcPr>
          <w:p>
            <w:pPr>
              <w:spacing w:after="0" w:line="240" w:lineRule="auto"/>
            </w:pPr>
            <w:r>
              <w:rPr>
                <w:rFonts w:ascii="Aptos" w:hAnsi="Aptos"/>
                <w:color w:val="202A33"/>
                <w:sz w:val="15"/>
              </w:rPr>
              <w:t>0.00%</w:t>
            </w:r>
          </w:p>
        </w:tc>
        <w:tc>
          <w:tcPr>
            <w:tcW w:type="dxa" w:w="1296"/>
            <w:vAlign w:val="center"/>
            <w:tcMar>
              <w:top w:w="95" w:type="dxa"/>
              <w:start w:w="110" w:type="dxa"/>
              <w:bottom w:w="95" w:type="dxa"/>
              <w:end w:w="110" w:type="dxa"/>
            </w:tcMar>
          </w:tcPr>
          <w:p>
            <w:pPr>
              <w:spacing w:after="0" w:line="240" w:lineRule="auto"/>
            </w:pPr>
            <w:r>
              <w:rPr>
                <w:rFonts w:ascii="Aptos" w:hAnsi="Aptos"/>
                <w:color w:val="202A33"/>
                <w:sz w:val="15"/>
              </w:rPr>
              <w:t>0</w:t>
            </w:r>
          </w:p>
        </w:tc>
        <w:tc>
          <w:tcPr>
            <w:tcW w:type="dxa" w:w="2016"/>
            <w:vAlign w:val="center"/>
            <w:tcMar>
              <w:top w:w="95" w:type="dxa"/>
              <w:start w:w="110" w:type="dxa"/>
              <w:bottom w:w="95" w:type="dxa"/>
              <w:end w:w="110" w:type="dxa"/>
            </w:tcMar>
          </w:tcPr>
          <w:p>
            <w:pPr>
              <w:spacing w:after="0" w:line="240" w:lineRule="auto"/>
            </w:pPr>
            <w:r>
              <w:rPr>
                <w:rFonts w:ascii="Aptos" w:hAnsi="Aptos"/>
                <w:color w:val="202A33"/>
                <w:sz w:val="15"/>
              </w:rPr>
              <w:t>−$15,477.19</w:t>
            </w:r>
          </w:p>
        </w:tc>
        <w:tc>
          <w:tcPr>
            <w:tcW w:type="dxa" w:w="1728"/>
            <w:vAlign w:val="center"/>
            <w:tcMar>
              <w:top w:w="95" w:type="dxa"/>
              <w:start w:w="110" w:type="dxa"/>
              <w:bottom w:w="95" w:type="dxa"/>
              <w:end w:w="110" w:type="dxa"/>
            </w:tcMar>
          </w:tcPr>
          <w:p>
            <w:pPr>
              <w:spacing w:after="0" w:line="240" w:lineRule="auto"/>
            </w:pPr>
            <w:r>
              <w:rPr>
                <w:rFonts w:ascii="Aptos" w:hAnsi="Aptos"/>
                <w:color w:val="202A33"/>
                <w:sz w:val="15"/>
              </w:rPr>
              <w:t>N/A for a score ranking</w:t>
            </w:r>
          </w:p>
        </w:tc>
      </w:tr>
      <w:tr>
        <w:trPr>
          <w:cantSplit/>
        </w:trPr>
        <w:tc>
          <w:tcPr>
            <w:tcW w:type="dxa" w:w="1800"/>
            <w:vAlign w:val="center"/>
            <w:tcMar>
              <w:top w:w="95" w:type="dxa"/>
              <w:start w:w="110" w:type="dxa"/>
              <w:bottom w:w="95" w:type="dxa"/>
              <w:end w:w="110" w:type="dxa"/>
            </w:tcMar>
            <w:shd w:fill="EAF1F6" w:val="clear"/>
          </w:tcPr>
          <w:p>
            <w:pPr>
              <w:spacing w:after="0" w:line="240" w:lineRule="auto"/>
            </w:pPr>
            <w:r>
              <w:rPr>
                <w:rFonts w:ascii="Aptos" w:hAnsi="Aptos"/>
                <w:color w:val="202A33"/>
                <w:sz w:val="15"/>
              </w:rPr>
              <w:t>Rules</w:t>
            </w:r>
          </w:p>
        </w:tc>
        <w:tc>
          <w:tcPr>
            <w:tcW w:type="dxa" w:w="1800"/>
            <w:vAlign w:val="center"/>
            <w:tcMar>
              <w:top w:w="95" w:type="dxa"/>
              <w:start w:w="110" w:type="dxa"/>
              <w:bottom w:w="95" w:type="dxa"/>
              <w:end w:w="110" w:type="dxa"/>
            </w:tcMar>
            <w:shd w:fill="EAF1F6" w:val="clear"/>
          </w:tcPr>
          <w:p>
            <w:pPr>
              <w:spacing w:after="0" w:line="240" w:lineRule="auto"/>
            </w:pPr>
            <w:r>
              <w:rPr>
                <w:rFonts w:ascii="Aptos" w:hAnsi="Aptos"/>
                <w:color w:val="202A33"/>
                <w:sz w:val="15"/>
              </w:rPr>
              <w:t>73.09%</w:t>
            </w:r>
          </w:p>
        </w:tc>
        <w:tc>
          <w:tcPr>
            <w:tcW w:type="dxa" w:w="129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30</w:t>
            </w:r>
          </w:p>
        </w:tc>
        <w:tc>
          <w:tcPr>
            <w:tcW w:type="dxa" w:w="201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−$56,248.77</w:t>
            </w:r>
          </w:p>
        </w:tc>
        <w:tc>
          <w:tcPr>
            <w:tcW w:type="dxa" w:w="1728"/>
            <w:vAlign w:val="center"/>
            <w:tcMar>
              <w:top w:w="95" w:type="dxa"/>
              <w:start w:w="110" w:type="dxa"/>
              <w:bottom w:w="95" w:type="dxa"/>
              <w:end w:w="110" w:type="dxa"/>
            </w:tcMar>
            <w:shd w:fill="EAF1F6" w:val="clear"/>
          </w:tcPr>
          <w:p>
            <w:pPr>
              <w:spacing w:after="0" w:line="240" w:lineRule="auto"/>
            </w:pPr>
            <w:r>
              <w:rPr>
                <w:rFonts w:ascii="Aptos" w:hAnsi="Aptos"/>
                <w:color w:val="202A33"/>
                <w:sz w:val="15"/>
              </w:rPr>
              <w:t>0.2655</w:t>
            </w:r>
          </w:p>
        </w:tc>
      </w:tr>
      <w:tr>
        <w:trPr>
          <w:cantSplit/>
        </w:trPr>
        <w:tc>
          <w:tcPr>
            <w:tcW w:type="dxa" w:w="1800"/>
            <w:vAlign w:val="center"/>
            <w:tcMar>
              <w:top w:w="95" w:type="dxa"/>
              <w:start w:w="110" w:type="dxa"/>
              <w:bottom w:w="95" w:type="dxa"/>
              <w:end w:w="110" w:type="dxa"/>
            </w:tcMar>
          </w:tcPr>
          <w:p>
            <w:pPr>
              <w:spacing w:after="0" w:line="240" w:lineRule="auto"/>
            </w:pPr>
            <w:r>
              <w:rPr>
                <w:rFonts w:ascii="Aptos" w:hAnsi="Aptos"/>
                <w:color w:val="202A33"/>
                <w:sz w:val="15"/>
              </w:rPr>
              <w:t>Logistic</w:t>
            </w:r>
          </w:p>
        </w:tc>
        <w:tc>
          <w:tcPr>
            <w:tcW w:type="dxa" w:w="1800"/>
            <w:vAlign w:val="center"/>
            <w:tcMar>
              <w:top w:w="95" w:type="dxa"/>
              <w:start w:w="110" w:type="dxa"/>
              <w:bottom w:w="95" w:type="dxa"/>
              <w:end w:w="110" w:type="dxa"/>
            </w:tcMar>
          </w:tcPr>
          <w:p>
            <w:pPr>
              <w:spacing w:after="0" w:line="240" w:lineRule="auto"/>
            </w:pPr>
            <w:r>
              <w:rPr>
                <w:rFonts w:ascii="Aptos" w:hAnsi="Aptos"/>
                <w:color w:val="202A33"/>
                <w:sz w:val="15"/>
              </w:rPr>
              <w:t>78.37%</w:t>
            </w:r>
          </w:p>
        </w:tc>
        <w:tc>
          <w:tcPr>
            <w:tcW w:type="dxa" w:w="1296"/>
            <w:vAlign w:val="center"/>
            <w:tcMar>
              <w:top w:w="95" w:type="dxa"/>
              <w:start w:w="110" w:type="dxa"/>
              <w:bottom w:w="95" w:type="dxa"/>
              <w:end w:w="110" w:type="dxa"/>
            </w:tcMar>
          </w:tcPr>
          <w:p>
            <w:pPr>
              <w:spacing w:after="0" w:line="240" w:lineRule="auto"/>
            </w:pPr>
            <w:r>
              <w:rPr>
                <w:rFonts w:ascii="Aptos" w:hAnsi="Aptos"/>
                <w:color w:val="202A33"/>
                <w:sz w:val="15"/>
              </w:rPr>
              <w:t>1</w:t>
            </w:r>
          </w:p>
        </w:tc>
        <w:tc>
          <w:tcPr>
            <w:tcW w:type="dxa" w:w="2016"/>
            <w:vAlign w:val="center"/>
            <w:tcMar>
              <w:top w:w="95" w:type="dxa"/>
              <w:start w:w="110" w:type="dxa"/>
              <w:bottom w:w="95" w:type="dxa"/>
              <w:end w:w="110" w:type="dxa"/>
            </w:tcMar>
          </w:tcPr>
          <w:p>
            <w:pPr>
              <w:spacing w:after="0" w:line="240" w:lineRule="auto"/>
            </w:pPr>
            <w:r>
              <w:rPr>
                <w:rFonts w:ascii="Aptos" w:hAnsi="Aptos"/>
                <w:color w:val="202A33"/>
                <w:sz w:val="15"/>
              </w:rPr>
              <w:t>−$73,729.50</w:t>
            </w:r>
          </w:p>
        </w:tc>
        <w:tc>
          <w:tcPr>
            <w:tcW w:type="dxa" w:w="1728"/>
            <w:vAlign w:val="center"/>
            <w:tcMar>
              <w:top w:w="95" w:type="dxa"/>
              <w:start w:w="110" w:type="dxa"/>
              <w:bottom w:w="95" w:type="dxa"/>
              <w:end w:w="110" w:type="dxa"/>
            </w:tcMar>
          </w:tcPr>
          <w:p>
            <w:pPr>
              <w:spacing w:after="0" w:line="240" w:lineRule="auto"/>
            </w:pPr>
            <w:r>
              <w:rPr>
                <w:rFonts w:ascii="Aptos" w:hAnsi="Aptos"/>
                <w:color w:val="202A33"/>
                <w:sz w:val="15"/>
              </w:rPr>
              <w:t>0.5826</w:t>
            </w:r>
          </w:p>
        </w:tc>
      </w:tr>
      <w:tr>
        <w:trPr>
          <w:cantSplit/>
        </w:trPr>
        <w:tc>
          <w:tcPr>
            <w:tcW w:type="dxa" w:w="1800"/>
            <w:vAlign w:val="center"/>
            <w:tcMar>
              <w:top w:w="95" w:type="dxa"/>
              <w:start w:w="110" w:type="dxa"/>
              <w:bottom w:w="95" w:type="dxa"/>
              <w:end w:w="110" w:type="dxa"/>
            </w:tcMar>
            <w:shd w:fill="EAF1F6" w:val="clear"/>
          </w:tcPr>
          <w:p>
            <w:pPr>
              <w:spacing w:after="0" w:line="240" w:lineRule="auto"/>
            </w:pPr>
            <w:r>
              <w:rPr>
                <w:rFonts w:ascii="Aptos" w:hAnsi="Aptos"/>
                <w:color w:val="202A33"/>
                <w:sz w:val="15"/>
              </w:rPr>
              <w:t>Rules + logistic</w:t>
            </w:r>
          </w:p>
        </w:tc>
        <w:tc>
          <w:tcPr>
            <w:tcW w:type="dxa" w:w="1800"/>
            <w:vAlign w:val="center"/>
            <w:tcMar>
              <w:top w:w="95" w:type="dxa"/>
              <w:start w:w="110" w:type="dxa"/>
              <w:bottom w:w="95" w:type="dxa"/>
              <w:end w:w="110" w:type="dxa"/>
            </w:tcMar>
            <w:shd w:fill="EAF1F6" w:val="clear"/>
          </w:tcPr>
          <w:p>
            <w:pPr>
              <w:spacing w:after="0" w:line="240" w:lineRule="auto"/>
            </w:pPr>
            <w:r>
              <w:rPr>
                <w:rFonts w:ascii="Aptos" w:hAnsi="Aptos"/>
                <w:color w:val="202A33"/>
                <w:sz w:val="15"/>
              </w:rPr>
              <w:t>76.26%</w:t>
            </w:r>
          </w:p>
        </w:tc>
        <w:tc>
          <w:tcPr>
            <w:tcW w:type="dxa" w:w="129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30</w:t>
            </w:r>
          </w:p>
        </w:tc>
        <w:tc>
          <w:tcPr>
            <w:tcW w:type="dxa" w:w="2016"/>
            <w:vAlign w:val="center"/>
            <w:tcMar>
              <w:top w:w="95" w:type="dxa"/>
              <w:start w:w="110" w:type="dxa"/>
              <w:bottom w:w="95" w:type="dxa"/>
              <w:end w:w="110" w:type="dxa"/>
            </w:tcMar>
            <w:shd w:fill="EAF1F6" w:val="clear"/>
          </w:tcPr>
          <w:p>
            <w:pPr>
              <w:spacing w:after="0" w:line="240" w:lineRule="auto"/>
            </w:pPr>
            <w:r>
              <w:rPr>
                <w:rFonts w:ascii="Aptos" w:hAnsi="Aptos"/>
                <w:color w:val="202A33"/>
                <w:sz w:val="15"/>
              </w:rPr>
              <w:t>−$58,811.13</w:t>
            </w:r>
          </w:p>
        </w:tc>
        <w:tc>
          <w:tcPr>
            <w:tcW w:type="dxa" w:w="1728"/>
            <w:vAlign w:val="center"/>
            <w:tcMar>
              <w:top w:w="95" w:type="dxa"/>
              <w:start w:w="110" w:type="dxa"/>
              <w:bottom w:w="95" w:type="dxa"/>
              <w:end w:w="110" w:type="dxa"/>
            </w:tcMar>
            <w:shd w:fill="EAF1F6" w:val="clear"/>
          </w:tcPr>
          <w:p>
            <w:pPr>
              <w:spacing w:after="0" w:line="240" w:lineRule="auto"/>
            </w:pPr>
            <w:r>
              <w:rPr>
                <w:rFonts w:ascii="Aptos" w:hAnsi="Aptos"/>
                <w:color w:val="202A33"/>
                <w:sz w:val="15"/>
              </w:rPr>
              <w:t>0.2981</w:t>
            </w:r>
          </w:p>
        </w:tc>
      </w:tr>
    </w:tbl>
    <w:p>
      <w:pPr>
        <w:spacing w:after="40"/>
      </w:pPr>
    </w:p>
    <w:p>
      <w:pPr>
        <w:keepLines w:val="0"/>
        <w:spacing w:after="120" w:before="0" w:line="259" w:lineRule="auto"/>
      </w:pPr>
      <w:r>
        <w:rPr>
          <w:rFonts w:ascii="Aptos" w:hAnsi="Aptos"/>
          <w:color w:val="202A33"/>
          <w:sz w:val="20"/>
        </w:rPr>
        <w:t>Under the base fictional economics and the default 250-case daily review capacity, Logistic has the lowest modeled cost among these strategies. In this seed's holdout it captures 78.37% of simulated fraud value, records one false decline, sends 21 good payments to review, and challenges 740. Rules captures 73.09%, records 30 false declines, reviews 140 good payments, and challenges 5,305. These single-seed outcomes are shown separately from the 30-seed comparison later in this guide.</w:t>
      </w:r>
    </w:p>
    <w:p>
      <w:pPr>
        <w:pStyle w:val="Heading2"/>
        <w:keepNext/>
        <w:spacing w:before="160" w:after="100"/>
      </w:pPr>
      <w:r>
        <w:rPr>
          <w:rFonts w:ascii="Aptos" w:hAnsi="Aptos"/>
          <w:b/>
          <w:color w:val="000000"/>
          <w:sz w:val="25"/>
        </w:rPr>
        <w:t>What each metric means</w:t>
      </w:r>
    </w:p>
    <w:tbl>
      <w:tblPr>
        <w:tblW w:type="auto" w:w="0"/>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W w:w="9936" w:type="dxa"/>
      </w:tblPr>
      <w:tblGrid>
        <w:gridCol w:w="2592"/>
        <w:gridCol w:w="7344"/>
      </w:tblGrid>
      <w:tr>
        <w:trPr>
          <w:tblHeader w:val="true"/>
          <w:cantSplit/>
        </w:trPr>
        <w:tc>
          <w:tcPr>
            <w:tcW w:type="dxa" w:w="2592"/>
            <w:vAlign w:val="center"/>
            <w:shd w:fill="18364D" w:val="clear"/>
            <w:tcMar>
              <w:top w:w="95" w:type="dxa"/>
              <w:start w:w="110" w:type="dxa"/>
              <w:bottom w:w="95" w:type="dxa"/>
              <w:end w:w="110" w:type="dxa"/>
            </w:tcMar>
          </w:tcPr>
          <w:p>
            <w:pPr>
              <w:spacing w:after="0" w:line="240" w:lineRule="auto"/>
            </w:pPr>
            <w:r>
              <w:rPr>
                <w:rFonts w:ascii="Aptos" w:hAnsi="Aptos"/>
                <w:b/>
                <w:color w:val="FFFFFF"/>
                <w:sz w:val="16"/>
              </w:rPr>
              <w:t>Metric</w:t>
            </w:r>
          </w:p>
        </w:tc>
        <w:tc>
          <w:tcPr>
            <w:tcW w:type="dxa" w:w="7344"/>
            <w:vAlign w:val="center"/>
            <w:shd w:fill="18364D" w:val="clear"/>
            <w:tcMar>
              <w:top w:w="95" w:type="dxa"/>
              <w:start w:w="110" w:type="dxa"/>
              <w:bottom w:w="95" w:type="dxa"/>
              <w:end w:w="110" w:type="dxa"/>
            </w:tcMar>
          </w:tcPr>
          <w:p>
            <w:pPr>
              <w:spacing w:after="0" w:line="240" w:lineRule="auto"/>
            </w:pPr>
            <w:r>
              <w:rPr>
                <w:rFonts w:ascii="Aptos" w:hAnsi="Aptos"/>
                <w:b/>
                <w:color w:val="FFFFFF"/>
                <w:sz w:val="16"/>
              </w:rPr>
              <w:t>Interpretation</w:t>
            </w:r>
          </w:p>
        </w:tc>
      </w:tr>
      <w:tr>
        <w:trPr>
          <w:cantSplit/>
        </w:trPr>
        <w:tc>
          <w:tcPr>
            <w:tcW w:type="dxa" w:w="2592"/>
            <w:vAlign w:val="center"/>
            <w:tcMar>
              <w:top w:w="95" w:type="dxa"/>
              <w:start w:w="110" w:type="dxa"/>
              <w:bottom w:w="95" w:type="dxa"/>
              <w:end w:w="110" w:type="dxa"/>
            </w:tcMar>
          </w:tcPr>
          <w:p>
            <w:pPr>
              <w:spacing w:after="0" w:line="240" w:lineRule="auto"/>
            </w:pPr>
            <w:r>
              <w:rPr>
                <w:rFonts w:ascii="Aptos" w:hAnsi="Aptos"/>
                <w:color w:val="202A33"/>
                <w:sz w:val="16"/>
              </w:rPr>
              <w:t>Fraud value captured</w:t>
            </w:r>
          </w:p>
        </w:tc>
        <w:tc>
          <w:tcPr>
            <w:tcW w:type="dxa" w:w="7344"/>
            <w:vAlign w:val="center"/>
            <w:tcMar>
              <w:top w:w="95" w:type="dxa"/>
              <w:start w:w="110" w:type="dxa"/>
              <w:bottom w:w="95" w:type="dxa"/>
              <w:end w:w="110" w:type="dxa"/>
            </w:tcMar>
          </w:tcPr>
          <w:p>
            <w:pPr>
              <w:spacing w:after="0" w:line="240" w:lineRule="auto"/>
            </w:pPr>
            <w:r>
              <w:rPr>
                <w:rFonts w:ascii="Aptos" w:hAnsi="Aptos"/>
                <w:color w:val="202A33"/>
                <w:sz w:val="16"/>
              </w:rPr>
              <w:t>Fraud amount multiplied by assumed intervention effectiveness: 0% approve, 80% challenge, 90% review, 100% decline.</w:t>
            </w:r>
          </w:p>
        </w:tc>
      </w:tr>
      <w:tr>
        <w:trPr>
          <w:cantSplit/>
        </w:trPr>
        <w:tc>
          <w:tcPr>
            <w:tcW w:type="dxa" w:w="2592"/>
            <w:vAlign w:val="center"/>
            <w:tcMar>
              <w:top w:w="95" w:type="dxa"/>
              <w:start w:w="110" w:type="dxa"/>
              <w:bottom w:w="95" w:type="dxa"/>
              <w:end w:w="110" w:type="dxa"/>
            </w:tcMar>
            <w:shd w:fill="EAF1F6" w:val="clear"/>
          </w:tcPr>
          <w:p>
            <w:pPr>
              <w:spacing w:after="0" w:line="240" w:lineRule="auto"/>
            </w:pPr>
            <w:r>
              <w:rPr>
                <w:rFonts w:ascii="Aptos" w:hAnsi="Aptos"/>
                <w:color w:val="202A33"/>
                <w:sz w:val="16"/>
              </w:rPr>
              <w:t>Fraud recall</w:t>
            </w:r>
          </w:p>
        </w:tc>
        <w:tc>
          <w:tcPr>
            <w:tcW w:type="dxa" w:w="7344"/>
            <w:vAlign w:val="center"/>
            <w:tcMar>
              <w:top w:w="95" w:type="dxa"/>
              <w:start w:w="110" w:type="dxa"/>
              <w:bottom w:w="95" w:type="dxa"/>
              <w:end w:w="110" w:type="dxa"/>
            </w:tcMar>
            <w:shd w:fill="EAF1F6" w:val="clear"/>
          </w:tcPr>
          <w:p>
            <w:pPr>
              <w:spacing w:after="0" w:line="240" w:lineRule="auto"/>
            </w:pPr>
            <w:r>
              <w:rPr>
                <w:rFonts w:ascii="Aptos" w:hAnsi="Aptos"/>
                <w:color w:val="202A33"/>
                <w:sz w:val="16"/>
              </w:rPr>
              <w:t>Share of planted fraud events that receive any action other than approve.</w:t>
            </w:r>
          </w:p>
        </w:tc>
      </w:tr>
      <w:tr>
        <w:trPr>
          <w:cantSplit/>
        </w:trPr>
        <w:tc>
          <w:tcPr>
            <w:tcW w:type="dxa" w:w="2592"/>
            <w:vAlign w:val="center"/>
            <w:tcMar>
              <w:top w:w="95" w:type="dxa"/>
              <w:start w:w="110" w:type="dxa"/>
              <w:bottom w:w="95" w:type="dxa"/>
              <w:end w:w="110" w:type="dxa"/>
            </w:tcMar>
          </w:tcPr>
          <w:p>
            <w:pPr>
              <w:spacing w:after="0" w:line="240" w:lineRule="auto"/>
            </w:pPr>
            <w:r>
              <w:rPr>
                <w:rFonts w:ascii="Aptos" w:hAnsi="Aptos"/>
                <w:color w:val="202A33"/>
                <w:sz w:val="16"/>
              </w:rPr>
              <w:t>Precision among interventions</w:t>
            </w:r>
          </w:p>
        </w:tc>
        <w:tc>
          <w:tcPr>
            <w:tcW w:type="dxa" w:w="7344"/>
            <w:vAlign w:val="center"/>
            <w:tcMar>
              <w:top w:w="95" w:type="dxa"/>
              <w:start w:w="110" w:type="dxa"/>
              <w:bottom w:w="95" w:type="dxa"/>
              <w:end w:w="110" w:type="dxa"/>
            </w:tcMar>
          </w:tcPr>
          <w:p>
            <w:pPr>
              <w:spacing w:after="0" w:line="240" w:lineRule="auto"/>
            </w:pPr>
            <w:r>
              <w:rPr>
                <w:rFonts w:ascii="Aptos" w:hAnsi="Aptos"/>
                <w:color w:val="202A33"/>
                <w:sz w:val="16"/>
              </w:rPr>
              <w:t>Share of challenged, reviewed, or declined events that are planted fraud.</w:t>
            </w:r>
          </w:p>
        </w:tc>
      </w:tr>
      <w:tr>
        <w:trPr>
          <w:cantSplit/>
        </w:trPr>
        <w:tc>
          <w:tcPr>
            <w:tcW w:type="dxa" w:w="2592"/>
            <w:vAlign w:val="center"/>
            <w:tcMar>
              <w:top w:w="95" w:type="dxa"/>
              <w:start w:w="110" w:type="dxa"/>
              <w:bottom w:w="95" w:type="dxa"/>
              <w:end w:w="110" w:type="dxa"/>
            </w:tcMar>
            <w:shd w:fill="EAF1F6" w:val="clear"/>
          </w:tcPr>
          <w:p>
            <w:pPr>
              <w:spacing w:after="0" w:line="240" w:lineRule="auto"/>
            </w:pPr>
            <w:r>
              <w:rPr>
                <w:rFonts w:ascii="Aptos" w:hAnsi="Aptos"/>
                <w:color w:val="202A33"/>
                <w:sz w:val="16"/>
              </w:rPr>
              <w:t>False declines</w:t>
            </w:r>
          </w:p>
        </w:tc>
        <w:tc>
          <w:tcPr>
            <w:tcW w:type="dxa" w:w="7344"/>
            <w:vAlign w:val="center"/>
            <w:tcMar>
              <w:top w:w="95" w:type="dxa"/>
              <w:start w:w="110" w:type="dxa"/>
              <w:bottom w:w="95" w:type="dxa"/>
              <w:end w:w="110" w:type="dxa"/>
            </w:tcMar>
            <w:shd w:fill="EAF1F6" w:val="clear"/>
          </w:tcPr>
          <w:p>
            <w:pPr>
              <w:spacing w:after="0" w:line="240" w:lineRule="auto"/>
            </w:pPr>
            <w:r>
              <w:rPr>
                <w:rFonts w:ascii="Aptos" w:hAnsi="Aptos"/>
                <w:color w:val="202A33"/>
                <w:sz w:val="16"/>
              </w:rPr>
              <w:t>Legitimate holdout events that the policy declined.</w:t>
            </w:r>
          </w:p>
        </w:tc>
      </w:tr>
      <w:tr>
        <w:trPr>
          <w:cantSplit/>
        </w:trPr>
        <w:tc>
          <w:tcPr>
            <w:tcW w:type="dxa" w:w="2592"/>
            <w:vAlign w:val="center"/>
            <w:tcMar>
              <w:top w:w="95" w:type="dxa"/>
              <w:start w:w="110" w:type="dxa"/>
              <w:bottom w:w="95" w:type="dxa"/>
              <w:end w:w="110" w:type="dxa"/>
            </w:tcMar>
          </w:tcPr>
          <w:p>
            <w:pPr>
              <w:spacing w:after="0" w:line="240" w:lineRule="auto"/>
            </w:pPr>
            <w:r>
              <w:rPr>
                <w:rFonts w:ascii="Aptos" w:hAnsi="Aptos"/>
                <w:color w:val="202A33"/>
                <w:sz w:val="16"/>
              </w:rPr>
              <w:t>Review overflow</w:t>
            </w:r>
          </w:p>
        </w:tc>
        <w:tc>
          <w:tcPr>
            <w:tcW w:type="dxa" w:w="7344"/>
            <w:vAlign w:val="center"/>
            <w:tcMar>
              <w:top w:w="95" w:type="dxa"/>
              <w:start w:w="110" w:type="dxa"/>
              <w:bottom w:w="95" w:type="dxa"/>
              <w:end w:w="110" w:type="dxa"/>
            </w:tcMar>
          </w:tcPr>
          <w:p>
            <w:pPr>
              <w:spacing w:after="0" w:line="240" w:lineRule="auto"/>
            </w:pPr>
            <w:r>
              <w:rPr>
                <w:rFonts w:ascii="Aptos" w:hAnsi="Aptos"/>
                <w:color w:val="202A33"/>
                <w:sz w:val="16"/>
              </w:rPr>
              <w:t>Review candidates moved to challenge because daily capacity was full.</w:t>
            </w:r>
          </w:p>
        </w:tc>
      </w:tr>
      <w:tr>
        <w:trPr>
          <w:cantSplit/>
        </w:trPr>
        <w:tc>
          <w:tcPr>
            <w:tcW w:type="dxa" w:w="2592"/>
            <w:vAlign w:val="center"/>
            <w:tcMar>
              <w:top w:w="95" w:type="dxa"/>
              <w:start w:w="110" w:type="dxa"/>
              <w:bottom w:w="95" w:type="dxa"/>
              <w:end w:w="110" w:type="dxa"/>
            </w:tcMar>
            <w:shd w:fill="EAF1F6" w:val="clear"/>
          </w:tcPr>
          <w:p>
            <w:pPr>
              <w:spacing w:after="0" w:line="240" w:lineRule="auto"/>
            </w:pPr>
            <w:r>
              <w:rPr>
                <w:rFonts w:ascii="Aptos" w:hAnsi="Aptos"/>
                <w:color w:val="202A33"/>
                <w:sz w:val="16"/>
              </w:rPr>
              <w:t>PR-AUC</w:t>
            </w:r>
          </w:p>
        </w:tc>
        <w:tc>
          <w:tcPr>
            <w:tcW w:type="dxa" w:w="7344"/>
            <w:vAlign w:val="center"/>
            <w:tcMar>
              <w:top w:w="95" w:type="dxa"/>
              <w:start w:w="110" w:type="dxa"/>
              <w:bottom w:w="95" w:type="dxa"/>
              <w:end w:w="110" w:type="dxa"/>
            </w:tcMar>
            <w:shd w:fill="EAF1F6" w:val="clear"/>
          </w:tcPr>
          <w:p>
            <w:pPr>
              <w:spacing w:after="0" w:line="240" w:lineRule="auto"/>
            </w:pPr>
            <w:r>
              <w:rPr>
                <w:rFonts w:ascii="Aptos" w:hAnsi="Aptos"/>
                <w:color w:val="202A33"/>
                <w:sz w:val="16"/>
              </w:rPr>
              <w:t>Ranking quality across precision and recall; useful when positive events are rare.</w:t>
            </w:r>
          </w:p>
        </w:tc>
      </w:tr>
      <w:tr>
        <w:trPr>
          <w:cantSplit/>
        </w:trPr>
        <w:tc>
          <w:tcPr>
            <w:tcW w:type="dxa" w:w="2592"/>
            <w:vAlign w:val="center"/>
            <w:tcMar>
              <w:top w:w="95" w:type="dxa"/>
              <w:start w:w="110" w:type="dxa"/>
              <w:bottom w:w="95" w:type="dxa"/>
              <w:end w:w="110" w:type="dxa"/>
            </w:tcMar>
          </w:tcPr>
          <w:p>
            <w:pPr>
              <w:spacing w:after="0" w:line="240" w:lineRule="auto"/>
            </w:pPr>
            <w:r>
              <w:rPr>
                <w:rFonts w:ascii="Aptos" w:hAnsi="Aptos"/>
                <w:color w:val="202A33"/>
                <w:sz w:val="16"/>
              </w:rPr>
              <w:t>Net economic cost</w:t>
            </w:r>
          </w:p>
        </w:tc>
        <w:tc>
          <w:tcPr>
            <w:tcW w:type="dxa" w:w="7344"/>
            <w:vAlign w:val="center"/>
            <w:tcMar>
              <w:top w:w="95" w:type="dxa"/>
              <w:start w:w="110" w:type="dxa"/>
              <w:bottom w:w="95" w:type="dxa"/>
              <w:end w:w="110" w:type="dxa"/>
            </w:tcMar>
          </w:tcPr>
          <w:p>
            <w:pPr>
              <w:spacing w:after="0" w:line="240" w:lineRule="auto"/>
            </w:pPr>
            <w:r>
              <w:rPr>
                <w:rFonts w:ascii="Aptos" w:hAnsi="Aptos"/>
                <w:color w:val="202A33"/>
                <w:sz w:val="16"/>
              </w:rPr>
              <w:t>Sum of the fictional unit costs over the selected holdout policy actions; lower is better under those assumptions.</w:t>
            </w:r>
          </w:p>
        </w:tc>
      </w:tr>
    </w:tbl>
    <w:p>
      <w:pPr>
        <w:spacing w:after="40"/>
      </w:pPr>
    </w:p>
    <w:p>
      <w:pPr>
        <w:keepLines w:val="0"/>
        <w:spacing w:after="120" w:before="0" w:line="259" w:lineRule="auto"/>
      </w:pPr>
      <w:r>
        <w:rPr>
          <w:rFonts w:ascii="Aptos" w:hAnsi="Aptos"/>
          <w:color w:val="202A33"/>
          <w:sz w:val="20"/>
        </w:rPr>
        <w:t>PR-AUC applies only when a strategy produces a continuous risk score. The incumbent has no ranking score, so its PR-AUC is reported as not applicable; this does not affect its action or cost totals.</w:t>
      </w:r>
    </w:p>
    <w:p>
      <w:pPr>
        <w:pStyle w:val="Heading2"/>
        <w:keepNext/>
        <w:spacing w:before="160" w:after="100"/>
      </w:pPr>
      <w:r>
        <w:rPr>
          <w:rFonts w:ascii="Aptos" w:hAnsi="Aptos"/>
          <w:b/>
          <w:color w:val="000000"/>
          <w:sz w:val="25"/>
        </w:rPr>
        <w:t>Sensitivity results</w:t>
      </w:r>
    </w:p>
    <w:p>
      <w:pPr>
        <w:keepLines w:val="0"/>
        <w:spacing w:after="120" w:before="0" w:line="259" w:lineRule="auto"/>
      </w:pPr>
      <w:r>
        <w:rPr>
          <w:rFonts w:ascii="Aptos" w:hAnsi="Aptos"/>
          <w:color w:val="202A33"/>
          <w:sz w:val="20"/>
        </w:rPr>
        <w:t>Review-capacity sensitivity tests how many cases the queue can absorb. The evaluated limits are 10, 50, 150, 250, and 500 cases per day. Overflow candidates are routed to CHALLENGE, so changing the limit can change fraud capture, customer friction, and modeled cost.</w:t>
      </w:r>
    </w:p>
    <w:p>
      <w:pPr>
        <w:keepLines w:val="0"/>
        <w:spacing w:after="120" w:before="0" w:line="259" w:lineRule="auto"/>
      </w:pPr>
      <w:r>
        <w:rPr>
          <w:rFonts w:ascii="Aptos" w:hAnsi="Aptos"/>
          <w:color w:val="202A33"/>
          <w:sz w:val="20"/>
        </w:rPr>
        <w:t>Economic sensitivity changes challenge success, false-decline attrition, or review recovery. In the generated output, Logistic remains lowest-cost in the listed scenarios, including lower challenge effectiveness and lower review recovery. That stability is only across the limited assumptions that were tested; it is not a statistical confidence interval or proof of robustness to unmodeled conditions.</w:t>
      </w:r>
    </w:p>
    <w:p>
      <w:pPr>
        <w:pStyle w:val="Heading2"/>
        <w:keepNext/>
        <w:spacing w:before="160" w:after="100"/>
      </w:pPr>
      <w:r>
        <w:rPr>
          <w:rFonts w:ascii="Aptos" w:hAnsi="Aptos"/>
          <w:b/>
          <w:color w:val="000000"/>
          <w:sz w:val="25"/>
        </w:rPr>
        <w:t>Across-seed results and uncertainty</w:t>
      </w:r>
    </w:p>
    <w:p>
      <w:pPr>
        <w:keepLines w:val="0"/>
        <w:spacing w:after="120" w:before="0" w:line="259" w:lineRule="auto"/>
      </w:pPr>
      <w:r>
        <w:rPr>
          <w:rFonts w:ascii="Aptos" w:hAnsi="Aptos"/>
          <w:color w:val="202A33"/>
          <w:sz w:val="20"/>
        </w:rPr>
        <w:t>The pipeline repeats generation, feature construction, model fitting, threshold selection, and holdout evaluation for 30 consecutive seeds. Each Rules result is compared with the Logistic result from the same seed, so the cost difference is paired. The table shows means for value capture and medians for event counts and modeled cost, with the observed minimum-to-maximum range across those runs.</w:t>
      </w:r>
    </w:p>
    <w:tbl>
      <w:tblPr>
        <w:tblW w:type="auto" w:w="0"/>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W w:w="9936" w:type="dxa"/>
      </w:tblPr>
      <w:tblGrid>
        <w:gridCol w:w="1152"/>
        <w:gridCol w:w="1800"/>
        <w:gridCol w:w="1512"/>
        <w:gridCol w:w="1800"/>
        <w:gridCol w:w="1656"/>
        <w:gridCol w:w="2016"/>
      </w:tblGrid>
      <w:tr>
        <w:trPr>
          <w:tblHeader w:val="true"/>
          <w:cantSplit/>
        </w:trPr>
        <w:tc>
          <w:tcPr>
            <w:tcW w:type="dxa" w:w="1152"/>
            <w:vAlign w:val="center"/>
            <w:shd w:fill="18364D" w:val="clear"/>
            <w:tcMar>
              <w:top w:w="95" w:type="dxa"/>
              <w:start w:w="110" w:type="dxa"/>
              <w:bottom w:w="95" w:type="dxa"/>
              <w:end w:w="110" w:type="dxa"/>
            </w:tcMar>
          </w:tcPr>
          <w:p>
            <w:pPr>
              <w:spacing w:after="0" w:line="240" w:lineRule="auto"/>
            </w:pPr>
            <w:r>
              <w:rPr>
                <w:rFonts w:ascii="Aptos" w:hAnsi="Aptos"/>
                <w:b/>
                <w:color w:val="FFFFFF"/>
                <w:sz w:val="14"/>
              </w:rPr>
              <w:t>Strategy</w:t>
            </w:r>
          </w:p>
        </w:tc>
        <w:tc>
          <w:tcPr>
            <w:tcW w:type="dxa" w:w="1800"/>
            <w:vAlign w:val="center"/>
            <w:shd w:fill="18364D" w:val="clear"/>
            <w:tcMar>
              <w:top w:w="95" w:type="dxa"/>
              <w:start w:w="110" w:type="dxa"/>
              <w:bottom w:w="95" w:type="dxa"/>
              <w:end w:w="110" w:type="dxa"/>
            </w:tcMar>
          </w:tcPr>
          <w:p>
            <w:pPr>
              <w:spacing w:after="0" w:line="240" w:lineRule="auto"/>
            </w:pPr>
            <w:r>
              <w:rPr>
                <w:rFonts w:ascii="Aptos" w:hAnsi="Aptos"/>
                <w:b/>
                <w:color w:val="FFFFFF"/>
                <w:sz w:val="14"/>
              </w:rPr>
              <w:t>Fraud value captured mean (range)</w:t>
            </w:r>
          </w:p>
        </w:tc>
        <w:tc>
          <w:tcPr>
            <w:tcW w:type="dxa" w:w="1512"/>
            <w:vAlign w:val="center"/>
            <w:shd w:fill="18364D" w:val="clear"/>
            <w:tcMar>
              <w:top w:w="95" w:type="dxa"/>
              <w:start w:w="110" w:type="dxa"/>
              <w:bottom w:w="95" w:type="dxa"/>
              <w:end w:w="110" w:type="dxa"/>
            </w:tcMar>
          </w:tcPr>
          <w:p>
            <w:pPr>
              <w:spacing w:after="0" w:line="240" w:lineRule="auto"/>
            </w:pPr>
            <w:r>
              <w:rPr>
                <w:rFonts w:ascii="Aptos" w:hAnsi="Aptos"/>
                <w:b/>
                <w:color w:val="FFFFFF"/>
                <w:sz w:val="14"/>
              </w:rPr>
              <w:t>False declines median (range)</w:t>
            </w:r>
          </w:p>
        </w:tc>
        <w:tc>
          <w:tcPr>
            <w:tcW w:type="dxa" w:w="1800"/>
            <w:vAlign w:val="center"/>
            <w:shd w:fill="18364D" w:val="clear"/>
            <w:tcMar>
              <w:top w:w="95" w:type="dxa"/>
              <w:start w:w="110" w:type="dxa"/>
              <w:bottom w:w="95" w:type="dxa"/>
              <w:end w:w="110" w:type="dxa"/>
            </w:tcMar>
          </w:tcPr>
          <w:p>
            <w:pPr>
              <w:spacing w:after="0" w:line="240" w:lineRule="auto"/>
            </w:pPr>
            <w:r>
              <w:rPr>
                <w:rFonts w:ascii="Aptos" w:hAnsi="Aptos"/>
                <w:b/>
                <w:color w:val="FFFFFF"/>
                <w:sz w:val="14"/>
              </w:rPr>
              <w:t>Good payments challenged median (range)</w:t>
            </w:r>
          </w:p>
        </w:tc>
        <w:tc>
          <w:tcPr>
            <w:tcW w:type="dxa" w:w="1656"/>
            <w:vAlign w:val="center"/>
            <w:shd w:fill="18364D" w:val="clear"/>
            <w:tcMar>
              <w:top w:w="95" w:type="dxa"/>
              <w:start w:w="110" w:type="dxa"/>
              <w:bottom w:w="95" w:type="dxa"/>
              <w:end w:w="110" w:type="dxa"/>
            </w:tcMar>
          </w:tcPr>
          <w:p>
            <w:pPr>
              <w:spacing w:after="0" w:line="240" w:lineRule="auto"/>
            </w:pPr>
            <w:r>
              <w:rPr>
                <w:rFonts w:ascii="Aptos" w:hAnsi="Aptos"/>
                <w:b/>
                <w:color w:val="FFFFFF"/>
                <w:sz w:val="14"/>
              </w:rPr>
              <w:t>Good payments reviewed median (range)</w:t>
            </w:r>
          </w:p>
        </w:tc>
        <w:tc>
          <w:tcPr>
            <w:tcW w:type="dxa" w:w="2016"/>
            <w:vAlign w:val="center"/>
            <w:shd w:fill="18364D" w:val="clear"/>
            <w:tcMar>
              <w:top w:w="95" w:type="dxa"/>
              <w:start w:w="110" w:type="dxa"/>
              <w:bottom w:w="95" w:type="dxa"/>
              <w:end w:w="110" w:type="dxa"/>
            </w:tcMar>
          </w:tcPr>
          <w:p>
            <w:pPr>
              <w:spacing w:after="0" w:line="240" w:lineRule="auto"/>
            </w:pPr>
            <w:r>
              <w:rPr>
                <w:rFonts w:ascii="Aptos" w:hAnsi="Aptos"/>
                <w:b/>
                <w:color w:val="FFFFFF"/>
                <w:sz w:val="14"/>
              </w:rPr>
              <w:t>Net modeled cost median (range)</w:t>
            </w:r>
          </w:p>
        </w:tc>
      </w:tr>
      <w:tr>
        <w:trPr>
          <w:cantSplit/>
        </w:trPr>
        <w:tc>
          <w:tcPr>
            <w:tcW w:type="dxa" w:w="1152"/>
            <w:vAlign w:val="center"/>
            <w:tcMar>
              <w:top w:w="95" w:type="dxa"/>
              <w:start w:w="110" w:type="dxa"/>
              <w:bottom w:w="95" w:type="dxa"/>
              <w:end w:w="110" w:type="dxa"/>
            </w:tcMar>
          </w:tcPr>
          <w:p>
            <w:pPr>
              <w:spacing w:after="0" w:line="240" w:lineRule="auto"/>
            </w:pPr>
            <w:r>
              <w:rPr>
                <w:rFonts w:ascii="Aptos" w:hAnsi="Aptos"/>
                <w:color w:val="202A33"/>
                <w:sz w:val="14"/>
              </w:rPr>
              <w:t>Rules</w:t>
            </w:r>
          </w:p>
        </w:tc>
        <w:tc>
          <w:tcPr>
            <w:tcW w:type="dxa" w:w="1800"/>
            <w:vAlign w:val="center"/>
            <w:tcMar>
              <w:top w:w="95" w:type="dxa"/>
              <w:start w:w="110" w:type="dxa"/>
              <w:bottom w:w="95" w:type="dxa"/>
              <w:end w:w="110" w:type="dxa"/>
            </w:tcMar>
          </w:tcPr>
          <w:p>
            <w:pPr>
              <w:spacing w:after="0" w:line="240" w:lineRule="auto"/>
            </w:pPr>
            <w:r>
              <w:rPr>
                <w:rFonts w:ascii="Aptos" w:hAnsi="Aptos"/>
                <w:color w:val="202A33"/>
                <w:sz w:val="14"/>
              </w:rPr>
              <w:t>73.73% (68.29–81.25%)</w:t>
            </w:r>
          </w:p>
        </w:tc>
        <w:tc>
          <w:tcPr>
            <w:tcW w:type="dxa" w:w="1512"/>
            <w:vAlign w:val="center"/>
            <w:tcMar>
              <w:top w:w="95" w:type="dxa"/>
              <w:start w:w="110" w:type="dxa"/>
              <w:bottom w:w="95" w:type="dxa"/>
              <w:end w:w="110" w:type="dxa"/>
            </w:tcMar>
          </w:tcPr>
          <w:p>
            <w:pPr>
              <w:spacing w:after="0" w:line="240" w:lineRule="auto"/>
            </w:pPr>
            <w:r>
              <w:rPr>
                <w:rFonts w:ascii="Aptos" w:hAnsi="Aptos"/>
                <w:color w:val="202A33"/>
                <w:sz w:val="14"/>
              </w:rPr>
              <w:t>31 (19–52)</w:t>
            </w:r>
          </w:p>
        </w:tc>
        <w:tc>
          <w:tcPr>
            <w:tcW w:type="dxa" w:w="1800"/>
            <w:vAlign w:val="center"/>
            <w:tcMar>
              <w:top w:w="95" w:type="dxa"/>
              <w:start w:w="110" w:type="dxa"/>
              <w:bottom w:w="95" w:type="dxa"/>
              <w:end w:w="110" w:type="dxa"/>
            </w:tcMar>
          </w:tcPr>
          <w:p>
            <w:pPr>
              <w:spacing w:after="0" w:line="240" w:lineRule="auto"/>
            </w:pPr>
            <w:r>
              <w:rPr>
                <w:rFonts w:ascii="Aptos" w:hAnsi="Aptos"/>
                <w:color w:val="202A33"/>
                <w:sz w:val="14"/>
              </w:rPr>
              <w:t>5,139 (4,552–5,764)</w:t>
            </w:r>
          </w:p>
        </w:tc>
        <w:tc>
          <w:tcPr>
            <w:tcW w:type="dxa" w:w="1656"/>
            <w:vAlign w:val="center"/>
            <w:tcMar>
              <w:top w:w="95" w:type="dxa"/>
              <w:start w:w="110" w:type="dxa"/>
              <w:bottom w:w="95" w:type="dxa"/>
              <w:end w:w="110" w:type="dxa"/>
            </w:tcMar>
          </w:tcPr>
          <w:p>
            <w:pPr>
              <w:spacing w:after="0" w:line="240" w:lineRule="auto"/>
            </w:pPr>
            <w:r>
              <w:rPr>
                <w:rFonts w:ascii="Aptos" w:hAnsi="Aptos"/>
                <w:color w:val="202A33"/>
                <w:sz w:val="14"/>
              </w:rPr>
              <w:t>126 (88–155)</w:t>
            </w:r>
          </w:p>
        </w:tc>
        <w:tc>
          <w:tcPr>
            <w:tcW w:type="dxa" w:w="2016"/>
            <w:vAlign w:val="center"/>
            <w:tcMar>
              <w:top w:w="95" w:type="dxa"/>
              <w:start w:w="110" w:type="dxa"/>
              <w:bottom w:w="95" w:type="dxa"/>
              <w:end w:w="110" w:type="dxa"/>
            </w:tcMar>
          </w:tcPr>
          <w:p>
            <w:pPr>
              <w:spacing w:after="0" w:line="240" w:lineRule="auto"/>
            </w:pPr>
            <w:r>
              <w:rPr>
                <w:rFonts w:ascii="Aptos" w:hAnsi="Aptos"/>
                <w:color w:val="202A33"/>
                <w:sz w:val="14"/>
              </w:rPr>
              <w:t>−$52,948 (−$58,036 to −$47,036)</w:t>
            </w:r>
          </w:p>
        </w:tc>
      </w:tr>
      <w:tr>
        <w:trPr>
          <w:cantSplit/>
        </w:trPr>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4"/>
              </w:rPr>
              <w:t>Logistic</w:t>
            </w:r>
          </w:p>
        </w:tc>
        <w:tc>
          <w:tcPr>
            <w:tcW w:type="dxa" w:w="1800"/>
            <w:vAlign w:val="center"/>
            <w:tcMar>
              <w:top w:w="95" w:type="dxa"/>
              <w:start w:w="110" w:type="dxa"/>
              <w:bottom w:w="95" w:type="dxa"/>
              <w:end w:w="110" w:type="dxa"/>
            </w:tcMar>
            <w:shd w:fill="EAF1F6" w:val="clear"/>
          </w:tcPr>
          <w:p>
            <w:pPr>
              <w:spacing w:after="0" w:line="240" w:lineRule="auto"/>
            </w:pPr>
            <w:r>
              <w:rPr>
                <w:rFonts w:ascii="Aptos" w:hAnsi="Aptos"/>
                <w:color w:val="202A33"/>
                <w:sz w:val="14"/>
              </w:rPr>
              <w:t>77.51% (69.76–87.21%)</w:t>
            </w:r>
          </w:p>
        </w:tc>
        <w:tc>
          <w:tcPr>
            <w:tcW w:type="dxa" w:w="1512"/>
            <w:vAlign w:val="center"/>
            <w:tcMar>
              <w:top w:w="95" w:type="dxa"/>
              <w:start w:w="110" w:type="dxa"/>
              <w:bottom w:w="95" w:type="dxa"/>
              <w:end w:w="110" w:type="dxa"/>
            </w:tcMar>
            <w:shd w:fill="EAF1F6" w:val="clear"/>
          </w:tcPr>
          <w:p>
            <w:pPr>
              <w:spacing w:after="0" w:line="240" w:lineRule="auto"/>
            </w:pPr>
            <w:r>
              <w:rPr>
                <w:rFonts w:ascii="Aptos" w:hAnsi="Aptos"/>
                <w:color w:val="202A33"/>
                <w:sz w:val="14"/>
              </w:rPr>
              <w:t>0 (0–2)</w:t>
            </w:r>
          </w:p>
        </w:tc>
        <w:tc>
          <w:tcPr>
            <w:tcW w:type="dxa" w:w="1800"/>
            <w:vAlign w:val="center"/>
            <w:tcMar>
              <w:top w:w="95" w:type="dxa"/>
              <w:start w:w="110" w:type="dxa"/>
              <w:bottom w:w="95" w:type="dxa"/>
              <w:end w:w="110" w:type="dxa"/>
            </w:tcMar>
            <w:shd w:fill="EAF1F6" w:val="clear"/>
          </w:tcPr>
          <w:p>
            <w:pPr>
              <w:spacing w:after="0" w:line="240" w:lineRule="auto"/>
            </w:pPr>
            <w:r>
              <w:rPr>
                <w:rFonts w:ascii="Aptos" w:hAnsi="Aptos"/>
                <w:color w:val="202A33"/>
                <w:sz w:val="14"/>
              </w:rPr>
              <w:t>598.5 (181–930)</w:t>
            </w:r>
          </w:p>
        </w:tc>
        <w:tc>
          <w:tcPr>
            <w:tcW w:type="dxa" w:w="1656"/>
            <w:vAlign w:val="center"/>
            <w:tcMar>
              <w:top w:w="95" w:type="dxa"/>
              <w:start w:w="110" w:type="dxa"/>
              <w:bottom w:w="95" w:type="dxa"/>
              <w:end w:w="110" w:type="dxa"/>
            </w:tcMar>
            <w:shd w:fill="EAF1F6" w:val="clear"/>
          </w:tcPr>
          <w:p>
            <w:pPr>
              <w:spacing w:after="0" w:line="240" w:lineRule="auto"/>
            </w:pPr>
            <w:r>
              <w:rPr>
                <w:rFonts w:ascii="Aptos" w:hAnsi="Aptos"/>
                <w:color w:val="202A33"/>
                <w:sz w:val="14"/>
              </w:rPr>
              <w:t>19 (7–37)</w:t>
            </w:r>
          </w:p>
        </w:tc>
        <w:tc>
          <w:tcPr>
            <w:tcW w:type="dxa" w:w="2016"/>
            <w:vAlign w:val="center"/>
            <w:tcMar>
              <w:top w:w="95" w:type="dxa"/>
              <w:start w:w="110" w:type="dxa"/>
              <w:bottom w:w="95" w:type="dxa"/>
              <w:end w:w="110" w:type="dxa"/>
            </w:tcMar>
            <w:shd w:fill="EAF1F6" w:val="clear"/>
          </w:tcPr>
          <w:p>
            <w:pPr>
              <w:spacing w:after="0" w:line="240" w:lineRule="auto"/>
            </w:pPr>
            <w:r>
              <w:rPr>
                <w:rFonts w:ascii="Aptos" w:hAnsi="Aptos"/>
                <w:color w:val="202A33"/>
                <w:sz w:val="14"/>
              </w:rPr>
              <w:t>−$68,082 (−$73,730 to −$60,293)</w:t>
            </w:r>
          </w:p>
        </w:tc>
      </w:tr>
    </w:tbl>
    <w:p>
      <w:pPr>
        <w:spacing w:after="40"/>
      </w:pPr>
    </w:p>
    <w:p>
      <w:pPr>
        <w:keepLines w:val="0"/>
        <w:spacing w:after="120" w:before="0" w:line="259" w:lineRule="auto"/>
      </w:pPr>
      <w:r>
        <w:rPr>
          <w:rFonts w:ascii="Aptos" w:hAnsi="Aptos"/>
          <w:color w:val="202A33"/>
          <w:sz w:val="20"/>
        </w:rPr>
        <w:t>Logistic had lower modeled net cost than Rules in 30 of 30 runs. The paired median cost difference was −$15,501.82, with an observed range from −$22,482.27 to −$11,207.82. Logistic's median fraud-value-capture lift was 3.66 percentage points (range −1.86 to +14.31), so capture did not improve in every seed. It sent a median 4,463.5 fewer good payments to challenge (range 3,988–5,342 fewer), 108 fewer to review (range 65–138 fewer), and 31 fewer to decline (range 19–51 fewer). In this simulation, the lower modeled cost coincides with fewer interventions and a smaller investigator queue.</w:t>
      </w:r>
    </w:p>
    <w:p>
      <w:pPr>
        <w:keepLines w:val="0"/>
        <w:spacing w:after="120" w:before="0" w:line="259" w:lineRule="auto"/>
      </w:pPr>
      <w:r>
        <w:rPr>
          <w:rFonts w:ascii="Aptos" w:hAnsi="Aptos"/>
          <w:color w:val="202A33"/>
          <w:sz w:val="20"/>
        </w:rPr>
        <w:t>These ranges describe only the 30 random draws under the same fictional generator, attack patterns, review capacity, and unit economics. They are observed simulator ranges, not confidence intervals, significance tests, or estimates of uncertainty for a real book. Repeated seeds show how results vary under these assumptions; evaluating a real strategy would require representative labeled data and measured intervention outcomes.</w:t>
      </w:r>
    </w:p>
    <w:p>
      <w:pPr>
        <w:pStyle w:val="Heading1"/>
        <w:keepNext/>
        <w:spacing w:before="240" w:after="100"/>
      </w:pPr>
      <w:r>
        <w:rPr>
          <w:rFonts w:ascii="Aptos" w:hAnsi="Aptos"/>
          <w:b/>
          <w:color w:val="000000"/>
          <w:sz w:val="34"/>
        </w:rPr>
        <w:t>11  SQL Investigations, Network Analysis, and Monitoring</w:t>
      </w:r>
    </w:p>
    <w:p>
      <w:pPr>
        <w:pStyle w:val="Heading2"/>
        <w:keepNext/>
        <w:spacing w:before="160" w:after="100"/>
      </w:pPr>
      <w:r>
        <w:rPr>
          <w:rFonts w:ascii="Aptos" w:hAnsi="Aptos"/>
          <w:b/>
          <w:color w:val="000000"/>
          <w:sz w:val="25"/>
        </w:rPr>
        <w:t>SQL investigation files</w:t>
      </w:r>
    </w:p>
    <w:p>
      <w:pPr>
        <w:keepLines w:val="0"/>
        <w:spacing w:after="120" w:before="0" w:line="259" w:lineRule="auto"/>
      </w:pPr>
      <w:r>
        <w:rPr>
          <w:rFonts w:ascii="Aptos" w:hAnsi="Aptos"/>
          <w:color w:val="202A33"/>
          <w:sz w:val="20"/>
        </w:rPr>
        <w:t>Each SQL file asks an observable-data question and contains no reference to fraud labels. The runner opens the SQLite database, executes each query, and prints up to twelve rows for inspection.</w:t>
      </w:r>
    </w:p>
    <w:tbl>
      <w:tblPr>
        <w:tblW w:type="auto" w:w="0"/>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W w:w="9936" w:type="dxa"/>
      </w:tblPr>
      <w:tblGrid>
        <w:gridCol w:w="3672"/>
        <w:gridCol w:w="6264"/>
      </w:tblGrid>
      <w:tr>
        <w:trPr>
          <w:tblHeader w:val="true"/>
          <w:cantSplit/>
        </w:trPr>
        <w:tc>
          <w:tcPr>
            <w:tcW w:type="dxa" w:w="3672"/>
            <w:vAlign w:val="center"/>
            <w:shd w:fill="18364D" w:val="clear"/>
            <w:tcMar>
              <w:top w:w="95" w:type="dxa"/>
              <w:start w:w="110" w:type="dxa"/>
              <w:bottom w:w="95" w:type="dxa"/>
              <w:end w:w="110" w:type="dxa"/>
            </w:tcMar>
          </w:tcPr>
          <w:p>
            <w:pPr>
              <w:spacing w:after="0" w:line="240" w:lineRule="auto"/>
            </w:pPr>
            <w:r>
              <w:rPr>
                <w:rFonts w:ascii="Aptos" w:hAnsi="Aptos"/>
                <w:b/>
                <w:color w:val="FFFFFF"/>
                <w:sz w:val="16"/>
              </w:rPr>
              <w:t>Query file</w:t>
            </w:r>
          </w:p>
        </w:tc>
        <w:tc>
          <w:tcPr>
            <w:tcW w:type="dxa" w:w="6264"/>
            <w:vAlign w:val="center"/>
            <w:shd w:fill="18364D" w:val="clear"/>
            <w:tcMar>
              <w:top w:w="95" w:type="dxa"/>
              <w:start w:w="110" w:type="dxa"/>
              <w:bottom w:w="95" w:type="dxa"/>
              <w:end w:w="110" w:type="dxa"/>
            </w:tcMar>
          </w:tcPr>
          <w:p>
            <w:pPr>
              <w:spacing w:after="0" w:line="240" w:lineRule="auto"/>
            </w:pPr>
            <w:r>
              <w:rPr>
                <w:rFonts w:ascii="Aptos" w:hAnsi="Aptos"/>
                <w:b/>
                <w:color w:val="FFFFFF"/>
                <w:sz w:val="16"/>
              </w:rPr>
              <w:t>Question it helps answer</w:t>
            </w:r>
          </w:p>
        </w:tc>
      </w:tr>
      <w:tr>
        <w:trPr>
          <w:cantSplit/>
        </w:trPr>
        <w:tc>
          <w:tcPr>
            <w:tcW w:type="dxa" w:w="3672"/>
            <w:vAlign w:val="center"/>
            <w:tcMar>
              <w:top w:w="95" w:type="dxa"/>
              <w:start w:w="110" w:type="dxa"/>
              <w:bottom w:w="95" w:type="dxa"/>
              <w:end w:w="110" w:type="dxa"/>
            </w:tcMar>
          </w:tcPr>
          <w:p>
            <w:pPr>
              <w:spacing w:after="0" w:line="240" w:lineRule="auto"/>
            </w:pPr>
            <w:r>
              <w:rPr>
                <w:rFonts w:ascii="Aptos" w:hAnsi="Aptos"/>
                <w:color w:val="202A33"/>
                <w:sz w:val="16"/>
              </w:rPr>
              <w:t>01_daily_landscape.sql</w:t>
            </w:r>
          </w:p>
        </w:tc>
        <w:tc>
          <w:tcPr>
            <w:tcW w:type="dxa" w:w="6264"/>
            <w:vAlign w:val="center"/>
            <w:tcMar>
              <w:top w:w="95" w:type="dxa"/>
              <w:start w:w="110" w:type="dxa"/>
              <w:bottom w:w="95" w:type="dxa"/>
              <w:end w:w="110" w:type="dxa"/>
            </w:tcMar>
          </w:tcPr>
          <w:p>
            <w:pPr>
              <w:spacing w:after="0" w:line="240" w:lineRule="auto"/>
            </w:pPr>
            <w:r>
              <w:rPr>
                <w:rFonts w:ascii="Aptos" w:hAnsi="Aptos"/>
                <w:color w:val="202A33"/>
                <w:sz w:val="16"/>
              </w:rPr>
              <w:t>How do transaction count, value, and average amount change by day?</w:t>
            </w:r>
          </w:p>
        </w:tc>
      </w:tr>
      <w:tr>
        <w:trPr>
          <w:cantSplit/>
        </w:trPr>
        <w:tc>
          <w:tcPr>
            <w:tcW w:type="dxa" w:w="3672"/>
            <w:vAlign w:val="center"/>
            <w:tcMar>
              <w:top w:w="95" w:type="dxa"/>
              <w:start w:w="110" w:type="dxa"/>
              <w:bottom w:w="95" w:type="dxa"/>
              <w:end w:w="110" w:type="dxa"/>
            </w:tcMar>
            <w:shd w:fill="EAF1F6" w:val="clear"/>
          </w:tcPr>
          <w:p>
            <w:pPr>
              <w:spacing w:after="0" w:line="240" w:lineRule="auto"/>
            </w:pPr>
            <w:r>
              <w:rPr>
                <w:rFonts w:ascii="Aptos" w:hAnsi="Aptos"/>
                <w:color w:val="202A33"/>
                <w:sz w:val="16"/>
              </w:rPr>
              <w:t>02_terminal_concentration.sql</w:t>
            </w:r>
          </w:p>
        </w:tc>
        <w:tc>
          <w:tcPr>
            <w:tcW w:type="dxa" w:w="6264"/>
            <w:vAlign w:val="center"/>
            <w:tcMar>
              <w:top w:w="95" w:type="dxa"/>
              <w:start w:w="110" w:type="dxa"/>
              <w:bottom w:w="95" w:type="dxa"/>
              <w:end w:w="110" w:type="dxa"/>
            </w:tcMar>
            <w:shd w:fill="EAF1F6" w:val="clear"/>
          </w:tcPr>
          <w:p>
            <w:pPr>
              <w:spacing w:after="0" w:line="240" w:lineRule="auto"/>
            </w:pPr>
            <w:r>
              <w:rPr>
                <w:rFonts w:ascii="Aptos" w:hAnsi="Aptos"/>
                <w:color w:val="202A33"/>
                <w:sz w:val="16"/>
              </w:rPr>
              <w:t>Which terminals have the most transactions and customers?</w:t>
            </w:r>
          </w:p>
        </w:tc>
      </w:tr>
      <w:tr>
        <w:trPr>
          <w:cantSplit/>
        </w:trPr>
        <w:tc>
          <w:tcPr>
            <w:tcW w:type="dxa" w:w="3672"/>
            <w:vAlign w:val="center"/>
            <w:tcMar>
              <w:top w:w="95" w:type="dxa"/>
              <w:start w:w="110" w:type="dxa"/>
              <w:bottom w:w="95" w:type="dxa"/>
              <w:end w:w="110" w:type="dxa"/>
            </w:tcMar>
          </w:tcPr>
          <w:p>
            <w:pPr>
              <w:spacing w:after="0" w:line="240" w:lineRule="auto"/>
            </w:pPr>
            <w:r>
              <w:rPr>
                <w:rFonts w:ascii="Aptos" w:hAnsi="Aptos"/>
                <w:color w:val="202A33"/>
                <w:sz w:val="16"/>
              </w:rPr>
              <w:t>03_velocity_and_testing.sql</w:t>
            </w:r>
          </w:p>
        </w:tc>
        <w:tc>
          <w:tcPr>
            <w:tcW w:type="dxa" w:w="6264"/>
            <w:vAlign w:val="center"/>
            <w:tcMar>
              <w:top w:w="95" w:type="dxa"/>
              <w:start w:w="110" w:type="dxa"/>
              <w:bottom w:w="95" w:type="dxa"/>
              <w:end w:w="110" w:type="dxa"/>
            </w:tcMar>
          </w:tcPr>
          <w:p>
            <w:pPr>
              <w:spacing w:after="0" w:line="240" w:lineRule="auto"/>
            </w:pPr>
            <w:r>
              <w:rPr>
                <w:rFonts w:ascii="Aptos" w:hAnsi="Aptos"/>
                <w:color w:val="202A33"/>
                <w:sz w:val="16"/>
              </w:rPr>
              <w:t>Which low-value events follow rapid customer activity?</w:t>
            </w:r>
          </w:p>
        </w:tc>
      </w:tr>
      <w:tr>
        <w:trPr>
          <w:cantSplit/>
        </w:trPr>
        <w:tc>
          <w:tcPr>
            <w:tcW w:type="dxa" w:w="3672"/>
            <w:vAlign w:val="center"/>
            <w:tcMar>
              <w:top w:w="95" w:type="dxa"/>
              <w:start w:w="110" w:type="dxa"/>
              <w:bottom w:w="95" w:type="dxa"/>
              <w:end w:w="110" w:type="dxa"/>
            </w:tcMar>
            <w:shd w:fill="EAF1F6" w:val="clear"/>
          </w:tcPr>
          <w:p>
            <w:pPr>
              <w:spacing w:after="0" w:line="240" w:lineRule="auto"/>
            </w:pPr>
            <w:r>
              <w:rPr>
                <w:rFonts w:ascii="Aptos" w:hAnsi="Aptos"/>
                <w:color w:val="202A33"/>
                <w:sz w:val="16"/>
              </w:rPr>
              <w:t>04_amount_deviation.sql</w:t>
            </w:r>
          </w:p>
        </w:tc>
        <w:tc>
          <w:tcPr>
            <w:tcW w:type="dxa" w:w="6264"/>
            <w:vAlign w:val="center"/>
            <w:tcMar>
              <w:top w:w="95" w:type="dxa"/>
              <w:start w:w="110" w:type="dxa"/>
              <w:bottom w:w="95" w:type="dxa"/>
              <w:end w:w="110" w:type="dxa"/>
            </w:tcMar>
            <w:shd w:fill="EAF1F6" w:val="clear"/>
          </w:tcPr>
          <w:p>
            <w:pPr>
              <w:spacing w:after="0" w:line="240" w:lineRule="auto"/>
            </w:pPr>
            <w:r>
              <w:rPr>
                <w:rFonts w:ascii="Aptos" w:hAnsi="Aptos"/>
                <w:color w:val="202A33"/>
                <w:sz w:val="16"/>
              </w:rPr>
              <w:t>Which events are large relative to the customer profile?</w:t>
            </w:r>
          </w:p>
        </w:tc>
      </w:tr>
      <w:tr>
        <w:trPr>
          <w:cantSplit/>
        </w:trPr>
        <w:tc>
          <w:tcPr>
            <w:tcW w:type="dxa" w:w="3672"/>
            <w:vAlign w:val="center"/>
            <w:tcMar>
              <w:top w:w="95" w:type="dxa"/>
              <w:start w:w="110" w:type="dxa"/>
              <w:bottom w:w="95" w:type="dxa"/>
              <w:end w:w="110" w:type="dxa"/>
            </w:tcMar>
          </w:tcPr>
          <w:p>
            <w:pPr>
              <w:spacing w:after="0" w:line="240" w:lineRule="auto"/>
            </w:pPr>
            <w:r>
              <w:rPr>
                <w:rFonts w:ascii="Aptos" w:hAnsi="Aptos"/>
                <w:color w:val="202A33"/>
                <w:sz w:val="16"/>
              </w:rPr>
              <w:t>05_authentication_and_channel.sql</w:t>
            </w:r>
          </w:p>
        </w:tc>
        <w:tc>
          <w:tcPr>
            <w:tcW w:type="dxa" w:w="6264"/>
            <w:vAlign w:val="center"/>
            <w:tcMar>
              <w:top w:w="95" w:type="dxa"/>
              <w:start w:w="110" w:type="dxa"/>
              <w:bottom w:w="95" w:type="dxa"/>
              <w:end w:w="110" w:type="dxa"/>
            </w:tcMar>
          </w:tcPr>
          <w:p>
            <w:pPr>
              <w:spacing w:after="0" w:line="240" w:lineRule="auto"/>
            </w:pPr>
            <w:r>
              <w:rPr>
                <w:rFonts w:ascii="Aptos" w:hAnsi="Aptos"/>
                <w:color w:val="202A33"/>
                <w:sz w:val="16"/>
              </w:rPr>
              <w:t>How do channel, authentication result, amount, and night activity combine?</w:t>
            </w:r>
          </w:p>
        </w:tc>
      </w:tr>
      <w:tr>
        <w:trPr>
          <w:cantSplit/>
        </w:trPr>
        <w:tc>
          <w:tcPr>
            <w:tcW w:type="dxa" w:w="3672"/>
            <w:vAlign w:val="center"/>
            <w:tcMar>
              <w:top w:w="95" w:type="dxa"/>
              <w:start w:w="110" w:type="dxa"/>
              <w:bottom w:w="95" w:type="dxa"/>
              <w:end w:w="110" w:type="dxa"/>
            </w:tcMar>
            <w:shd w:fill="EAF1F6" w:val="clear"/>
          </w:tcPr>
          <w:p>
            <w:pPr>
              <w:spacing w:after="0" w:line="240" w:lineRule="auto"/>
            </w:pPr>
            <w:r>
              <w:rPr>
                <w:rFonts w:ascii="Aptos" w:hAnsi="Aptos"/>
                <w:color w:val="202A33"/>
                <w:sz w:val="16"/>
              </w:rPr>
              <w:t>06_network_connections.sql</w:t>
            </w:r>
          </w:p>
        </w:tc>
        <w:tc>
          <w:tcPr>
            <w:tcW w:type="dxa" w:w="6264"/>
            <w:vAlign w:val="center"/>
            <w:tcMar>
              <w:top w:w="95" w:type="dxa"/>
              <w:start w:w="110" w:type="dxa"/>
              <w:bottom w:w="95" w:type="dxa"/>
              <w:end w:w="110" w:type="dxa"/>
            </w:tcMar>
            <w:shd w:fill="EAF1F6" w:val="clear"/>
          </w:tcPr>
          <w:p>
            <w:pPr>
              <w:spacing w:after="0" w:line="240" w:lineRule="auto"/>
            </w:pPr>
            <w:r>
              <w:rPr>
                <w:rFonts w:ascii="Aptos" w:hAnsi="Aptos"/>
                <w:color w:val="202A33"/>
                <w:sz w:val="16"/>
              </w:rPr>
              <w:t>Which endpoints connect the most customers over the full dataset?</w:t>
            </w:r>
          </w:p>
        </w:tc>
      </w:tr>
    </w:tbl>
    <w:p>
      <w:pPr>
        <w:spacing w:after="40"/>
      </w:pPr>
    </w:p>
    <w:p>
      <w:pPr>
        <w:keepLines w:val="0"/>
        <w:spacing w:after="120" w:before="0" w:line="259" w:lineRule="auto"/>
      </w:pPr>
      <w:r>
        <w:rPr>
          <w:rFonts w:ascii="Aptos" w:hAnsi="Aptos"/>
          <w:color w:val="202A33"/>
          <w:sz w:val="20"/>
        </w:rPr>
        <w:t>A high volume, unfamiliar endpoint, or unusual amount is a lead for investigation. It is not proof that a payment is fraudulent. Query results describe the constructed population, and the full-history endpoint summary is intended for offline exploration rather than real-time scoring.</w:t>
      </w:r>
    </w:p>
    <w:p>
      <w:pPr>
        <w:pStyle w:val="Heading2"/>
        <w:keepNext/>
        <w:spacing w:before="160" w:after="100"/>
      </w:pPr>
      <w:r>
        <w:rPr>
          <w:rFonts w:ascii="Aptos" w:hAnsi="Aptos"/>
          <w:b/>
          <w:color w:val="000000"/>
          <w:sz w:val="25"/>
        </w:rPr>
        <w:t>Network summary</w:t>
      </w:r>
    </w:p>
    <w:p>
      <w:pPr>
        <w:keepLines w:val="0"/>
        <w:spacing w:after="120" w:before="0" w:line="259" w:lineRule="auto"/>
      </w:pPr>
      <w:r>
        <w:rPr>
          <w:rFonts w:ascii="Aptos" w:hAnsi="Aptos"/>
          <w:color w:val="202A33"/>
          <w:sz w:val="20"/>
        </w:rPr>
        <w:t>terminal_network_summary aggregates each terminal and merchant pair. It reports transaction count, distinct customers, distinct days, total amount, and customers per transaction. This is a first customer-terminal connectivity layer. Device, IP, login, and richer account relationships are not represented.</w:t>
      </w:r>
    </w:p>
    <w:p>
      <w:pPr>
        <w:pStyle w:val="Heading2"/>
        <w:keepNext/>
        <w:spacing w:before="160" w:after="100"/>
      </w:pPr>
      <w:r>
        <w:rPr>
          <w:rFonts w:ascii="Aptos" w:hAnsi="Aptos"/>
          <w:b/>
          <w:color w:val="000000"/>
          <w:sz w:val="25"/>
        </w:rPr>
        <w:t>Daily monitoring</w:t>
      </w:r>
    </w:p>
    <w:p>
      <w:pPr>
        <w:keepLines w:val="0"/>
        <w:spacing w:after="120" w:before="0" w:line="259" w:lineRule="auto"/>
      </w:pPr>
      <w:r>
        <w:rPr>
          <w:rFonts w:ascii="Aptos" w:hAnsi="Aptos"/>
          <w:color w:val="202A33"/>
          <w:sz w:val="20"/>
        </w:rPr>
        <w:t>The monitoring output uses observable transaction count, value, average amount, soft-decline rate, and share of model scores at or above 0.5. For volume and high-risk-score rate, it computes a z-score against the previous 14 days, requiring at least seven prior days. Alerts are raised when the absolute z-score reaches three. The current day is not included in its own baseline. Alerts are screening signals; seasonality and small samples can make them unstable.</w:t>
      </w:r>
    </w:p>
    <w:p>
      <w:pPr>
        <w:pStyle w:val="Heading2"/>
        <w:keepNext/>
        <w:spacing w:before="160" w:after="100"/>
      </w:pPr>
      <w:r>
        <w:rPr>
          <w:rFonts w:ascii="Aptos" w:hAnsi="Aptos"/>
          <w:b/>
          <w:color w:val="000000"/>
          <w:sz w:val="25"/>
        </w:rPr>
        <w:t>Group impact diagnostics</w:t>
      </w:r>
    </w:p>
    <w:p>
      <w:pPr>
        <w:keepLines w:val="0"/>
        <w:spacing w:after="120" w:before="0" w:line="259" w:lineRule="auto"/>
      </w:pPr>
      <w:r>
        <w:rPr>
          <w:rFonts w:ascii="Aptos" w:hAnsi="Aptos"/>
          <w:color w:val="202A33"/>
          <w:sz w:val="20"/>
        </w:rPr>
        <w:t>The report compares action rates and planted fraud rates across fictional segment, KYC-band, and home-region groups. Those tables can reveal that a strategy creates different burdens across groups in this simulator. They do not certify fairness or indicate how a real protected group would be affected. Small sample sizes and independently generated descriptors limit interpretation.</w:t>
      </w:r>
    </w:p>
    <w:p>
      <w:pPr>
        <w:pStyle w:val="Heading1"/>
        <w:keepNext/>
        <w:spacing w:before="240" w:after="100"/>
      </w:pPr>
      <w:r>
        <w:rPr>
          <w:rFonts w:ascii="Aptos" w:hAnsi="Aptos"/>
          <w:b/>
          <w:color w:val="000000"/>
          <w:sz w:val="34"/>
        </w:rPr>
        <w:t>12  Dashboard, Reports, Notebook, and Dataset Tools</w:t>
      </w:r>
    </w:p>
    <w:tbl>
      <w:tblPr>
        <w:tblW w:type="auto" w:w="0"/>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W w:w="9936" w:type="dxa"/>
      </w:tblPr>
      <w:tblGrid>
        <w:gridCol w:w="2952"/>
        <w:gridCol w:w="2952"/>
        <w:gridCol w:w="4032"/>
      </w:tblGrid>
      <w:tr>
        <w:trPr>
          <w:tblHeader w:val="true"/>
          <w:cantSplit/>
        </w:trPr>
        <w:tc>
          <w:tcPr>
            <w:tcW w:type="dxa" w:w="2952"/>
            <w:vAlign w:val="center"/>
            <w:shd w:fill="18364D" w:val="clear"/>
            <w:tcMar>
              <w:top w:w="95" w:type="dxa"/>
              <w:start w:w="110" w:type="dxa"/>
              <w:bottom w:w="95" w:type="dxa"/>
              <w:end w:w="110" w:type="dxa"/>
            </w:tcMar>
          </w:tcPr>
          <w:p>
            <w:pPr>
              <w:spacing w:after="0" w:line="240" w:lineRule="auto"/>
            </w:pPr>
            <w:r>
              <w:rPr>
                <w:rFonts w:ascii="Aptos" w:hAnsi="Aptos"/>
                <w:b/>
                <w:color w:val="FFFFFF"/>
                <w:sz w:val="15"/>
              </w:rPr>
              <w:t>Artifact</w:t>
            </w:r>
          </w:p>
        </w:tc>
        <w:tc>
          <w:tcPr>
            <w:tcW w:type="dxa" w:w="2952"/>
            <w:vAlign w:val="center"/>
            <w:shd w:fill="18364D" w:val="clear"/>
            <w:tcMar>
              <w:top w:w="95" w:type="dxa"/>
              <w:start w:w="110" w:type="dxa"/>
              <w:bottom w:w="95" w:type="dxa"/>
              <w:end w:w="110" w:type="dxa"/>
            </w:tcMar>
          </w:tcPr>
          <w:p>
            <w:pPr>
              <w:spacing w:after="0" w:line="240" w:lineRule="auto"/>
            </w:pPr>
            <w:r>
              <w:rPr>
                <w:rFonts w:ascii="Aptos" w:hAnsi="Aptos"/>
                <w:b/>
                <w:color w:val="FFFFFF"/>
                <w:sz w:val="15"/>
              </w:rPr>
              <w:t>Purpose</w:t>
            </w:r>
          </w:p>
        </w:tc>
        <w:tc>
          <w:tcPr>
            <w:tcW w:type="dxa" w:w="4032"/>
            <w:vAlign w:val="center"/>
            <w:shd w:fill="18364D" w:val="clear"/>
            <w:tcMar>
              <w:top w:w="95" w:type="dxa"/>
              <w:start w:w="110" w:type="dxa"/>
              <w:bottom w:w="95" w:type="dxa"/>
              <w:end w:w="110" w:type="dxa"/>
            </w:tcMar>
          </w:tcPr>
          <w:p>
            <w:pPr>
              <w:spacing w:after="0" w:line="240" w:lineRule="auto"/>
            </w:pPr>
            <w:r>
              <w:rPr>
                <w:rFonts w:ascii="Aptos" w:hAnsi="Aptos"/>
                <w:b/>
                <w:color w:val="FFFFFF"/>
                <w:sz w:val="15"/>
              </w:rPr>
              <w:t>How to use it</w:t>
            </w:r>
          </w:p>
        </w:tc>
      </w:tr>
      <w:tr>
        <w:trPr>
          <w:cantSplit/>
        </w:trPr>
        <w:tc>
          <w:tcPr>
            <w:tcW w:type="dxa" w:w="2952"/>
            <w:vAlign w:val="center"/>
            <w:tcMar>
              <w:top w:w="95" w:type="dxa"/>
              <w:start w:w="110" w:type="dxa"/>
              <w:bottom w:w="95" w:type="dxa"/>
              <w:end w:w="110" w:type="dxa"/>
            </w:tcMar>
          </w:tcPr>
          <w:p>
            <w:pPr>
              <w:spacing w:after="0" w:line="240" w:lineRule="auto"/>
            </w:pPr>
            <w:r>
              <w:rPr>
                <w:rFonts w:ascii="Aptos" w:hAnsi="Aptos"/>
                <w:color w:val="202A33"/>
                <w:sz w:val="15"/>
              </w:rPr>
              <w:t>reports/dashboard.html</w:t>
            </w:r>
          </w:p>
        </w:tc>
        <w:tc>
          <w:tcPr>
            <w:tcW w:type="dxa" w:w="2952"/>
            <w:vAlign w:val="center"/>
            <w:tcMar>
              <w:top w:w="95" w:type="dxa"/>
              <w:start w:w="110" w:type="dxa"/>
              <w:bottom w:w="95" w:type="dxa"/>
              <w:end w:w="110" w:type="dxa"/>
            </w:tcMar>
          </w:tcPr>
          <w:p>
            <w:pPr>
              <w:spacing w:after="0" w:line="240" w:lineRule="auto"/>
            </w:pPr>
            <w:r>
              <w:rPr>
                <w:rFonts w:ascii="Aptos" w:hAnsi="Aptos"/>
                <w:color w:val="202A33"/>
                <w:sz w:val="15"/>
              </w:rPr>
              <w:t>Interactive strategy economics view.</w:t>
            </w:r>
          </w:p>
        </w:tc>
        <w:tc>
          <w:tcPr>
            <w:tcW w:type="dxa" w:w="4032"/>
            <w:vAlign w:val="center"/>
            <w:tcMar>
              <w:top w:w="95" w:type="dxa"/>
              <w:start w:w="110" w:type="dxa"/>
              <w:bottom w:w="95" w:type="dxa"/>
              <w:end w:w="110" w:type="dxa"/>
            </w:tcMar>
          </w:tcPr>
          <w:p>
            <w:pPr>
              <w:spacing w:after="0" w:line="240" w:lineRule="auto"/>
            </w:pPr>
            <w:r>
              <w:rPr>
                <w:rFonts w:ascii="Aptos" w:hAnsi="Aptos"/>
                <w:color w:val="202A33"/>
                <w:sz w:val="15"/>
              </w:rPr>
              <w:t>Choose a daily review capacity and fictional economic scenario. It selects from precomputed holdout outcomes.</w:t>
            </w:r>
          </w:p>
        </w:tc>
      </w:tr>
      <w:tr>
        <w:trPr>
          <w:cantSplit/>
        </w:trPr>
        <w:tc>
          <w:tcPr>
            <w:tcW w:type="dxa" w:w="29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reports/case_study.md</w:t>
            </w:r>
          </w:p>
        </w:tc>
        <w:tc>
          <w:tcPr>
            <w:tcW w:type="dxa" w:w="29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Narrative summary of the generated evaluation.</w:t>
            </w:r>
          </w:p>
        </w:tc>
        <w:tc>
          <w:tcPr>
            <w:tcW w:type="dxa" w:w="403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Read the results, sensitivities, group diagnostics, typology results, and caveats.</w:t>
            </w:r>
          </w:p>
        </w:tc>
      </w:tr>
      <w:tr>
        <w:trPr>
          <w:cantSplit/>
        </w:trPr>
        <w:tc>
          <w:tcPr>
            <w:tcW w:type="dxa" w:w="2952"/>
            <w:vAlign w:val="center"/>
            <w:tcMar>
              <w:top w:w="95" w:type="dxa"/>
              <w:start w:w="110" w:type="dxa"/>
              <w:bottom w:w="95" w:type="dxa"/>
              <w:end w:w="110" w:type="dxa"/>
            </w:tcMar>
          </w:tcPr>
          <w:p>
            <w:pPr>
              <w:spacing w:after="0" w:line="240" w:lineRule="auto"/>
            </w:pPr>
            <w:r>
              <w:rPr>
                <w:rFonts w:ascii="Aptos" w:hAnsi="Aptos"/>
                <w:color w:val="202A33"/>
                <w:sz w:val="15"/>
              </w:rPr>
              <w:t>notebooks/01_investigation.ipynb</w:t>
            </w:r>
          </w:p>
        </w:tc>
        <w:tc>
          <w:tcPr>
            <w:tcW w:type="dxa" w:w="2952"/>
            <w:vAlign w:val="center"/>
            <w:tcMar>
              <w:top w:w="95" w:type="dxa"/>
              <w:start w:w="110" w:type="dxa"/>
              <w:bottom w:w="95" w:type="dxa"/>
              <w:end w:w="110" w:type="dxa"/>
            </w:tcMar>
          </w:tcPr>
          <w:p>
            <w:pPr>
              <w:spacing w:after="0" w:line="240" w:lineRule="auto"/>
            </w:pPr>
            <w:r>
              <w:rPr>
                <w:rFonts w:ascii="Aptos" w:hAnsi="Aptos"/>
                <w:color w:val="202A33"/>
                <w:sz w:val="15"/>
              </w:rPr>
              <w:t>Guided exploratory analysis.</w:t>
            </w:r>
          </w:p>
        </w:tc>
        <w:tc>
          <w:tcPr>
            <w:tcW w:type="dxa" w:w="4032"/>
            <w:vAlign w:val="center"/>
            <w:tcMar>
              <w:top w:w="95" w:type="dxa"/>
              <w:start w:w="110" w:type="dxa"/>
              <w:bottom w:w="95" w:type="dxa"/>
              <w:end w:w="110" w:type="dxa"/>
            </w:tcMar>
          </w:tcPr>
          <w:p>
            <w:pPr>
              <w:spacing w:after="0" w:line="240" w:lineRule="auto"/>
            </w:pPr>
            <w:r>
              <w:rPr>
                <w:rFonts w:ascii="Aptos" w:hAnsi="Aptos"/>
                <w:color w:val="202A33"/>
                <w:sz w:val="15"/>
              </w:rPr>
              <w:t>Inspect the generated data without bringing labels into the feature or query layer.</w:t>
            </w:r>
          </w:p>
        </w:tc>
      </w:tr>
      <w:tr>
        <w:trPr>
          <w:cantSplit/>
        </w:trPr>
        <w:tc>
          <w:tcPr>
            <w:tcW w:type="dxa" w:w="29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data/synthetic/published_run/manifest.json</w:t>
            </w:r>
          </w:p>
        </w:tc>
        <w:tc>
          <w:tcPr>
            <w:tcW w:type="dxa" w:w="29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Inventory of the published run snapshot.</w:t>
            </w:r>
          </w:p>
        </w:tc>
        <w:tc>
          <w:tcPr>
            <w:tcW w:type="dxa" w:w="403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See every table part, row count, checksum, and ground-truth status.</w:t>
            </w:r>
          </w:p>
        </w:tc>
      </w:tr>
      <w:tr>
        <w:trPr>
          <w:cantSplit/>
        </w:trPr>
        <w:tc>
          <w:tcPr>
            <w:tcW w:type="dxa" w:w="2952"/>
            <w:vAlign w:val="center"/>
            <w:tcMar>
              <w:top w:w="95" w:type="dxa"/>
              <w:start w:w="110" w:type="dxa"/>
              <w:bottom w:w="95" w:type="dxa"/>
              <w:end w:w="110" w:type="dxa"/>
            </w:tcMar>
          </w:tcPr>
          <w:p>
            <w:pPr>
              <w:spacing w:after="0" w:line="240" w:lineRule="auto"/>
            </w:pPr>
            <w:r>
              <w:rPr>
                <w:rFonts w:ascii="Aptos" w:hAnsi="Aptos"/>
                <w:color w:val="202A33"/>
                <w:sz w:val="15"/>
              </w:rPr>
              <w:t>scripts/assemble_dataset.py</w:t>
            </w:r>
          </w:p>
        </w:tc>
        <w:tc>
          <w:tcPr>
            <w:tcW w:type="dxa" w:w="2952"/>
            <w:vAlign w:val="center"/>
            <w:tcMar>
              <w:top w:w="95" w:type="dxa"/>
              <w:start w:w="110" w:type="dxa"/>
              <w:bottom w:w="95" w:type="dxa"/>
              <w:end w:w="110" w:type="dxa"/>
            </w:tcMar>
          </w:tcPr>
          <w:p>
            <w:pPr>
              <w:spacing w:after="0" w:line="240" w:lineRule="auto"/>
            </w:pPr>
            <w:r>
              <w:rPr>
                <w:rFonts w:ascii="Aptos" w:hAnsi="Aptos"/>
                <w:color w:val="202A33"/>
                <w:sz w:val="15"/>
              </w:rPr>
              <w:t>Restores the published CSV tables.</w:t>
            </w:r>
          </w:p>
        </w:tc>
        <w:tc>
          <w:tcPr>
            <w:tcW w:type="dxa" w:w="4032"/>
            <w:vAlign w:val="center"/>
            <w:tcMar>
              <w:top w:w="95" w:type="dxa"/>
              <w:start w:w="110" w:type="dxa"/>
              <w:bottom w:w="95" w:type="dxa"/>
              <w:end w:w="110" w:type="dxa"/>
            </w:tcMar>
          </w:tcPr>
          <w:p>
            <w:pPr>
              <w:spacing w:after="0" w:line="240" w:lineRule="auto"/>
            </w:pPr>
            <w:r>
              <w:rPr>
                <w:rFonts w:ascii="Aptos" w:hAnsi="Aptos"/>
                <w:color w:val="202A33"/>
                <w:sz w:val="15"/>
              </w:rPr>
              <w:t>Joins parts and checks SHA-256 against the original table files.</w:t>
            </w:r>
          </w:p>
        </w:tc>
      </w:tr>
      <w:tr>
        <w:trPr>
          <w:cantSplit/>
        </w:trPr>
        <w:tc>
          <w:tcPr>
            <w:tcW w:type="dxa" w:w="29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scripts/package_dataset.py</w:t>
            </w:r>
          </w:p>
        </w:tc>
        <w:tc>
          <w:tcPr>
            <w:tcW w:type="dxa" w:w="295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Packages a new run for repository sharing.</w:t>
            </w:r>
          </w:p>
        </w:tc>
        <w:tc>
          <w:tcPr>
            <w:tcW w:type="dxa" w:w="403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Splits current CSV outputs into smaller parts and writes a new manifest.</w:t>
            </w:r>
          </w:p>
        </w:tc>
      </w:tr>
      <w:tr>
        <w:trPr>
          <w:cantSplit/>
        </w:trPr>
        <w:tc>
          <w:tcPr>
            <w:tcW w:type="dxa" w:w="2952"/>
            <w:vAlign w:val="center"/>
            <w:tcMar>
              <w:top w:w="95" w:type="dxa"/>
              <w:start w:w="110" w:type="dxa"/>
              <w:bottom w:w="95" w:type="dxa"/>
              <w:end w:w="110" w:type="dxa"/>
            </w:tcMar>
          </w:tcPr>
          <w:p>
            <w:pPr>
              <w:spacing w:after="0" w:line="240" w:lineRule="auto"/>
            </w:pPr>
            <w:r>
              <w:rPr>
                <w:rFonts w:ascii="Aptos" w:hAnsi="Aptos"/>
                <w:color w:val="202A33"/>
                <w:sz w:val="15"/>
              </w:rPr>
              <w:t>data/synthetic/run/trusthold.sqlite</w:t>
            </w:r>
          </w:p>
        </w:tc>
        <w:tc>
          <w:tcPr>
            <w:tcW w:type="dxa" w:w="2952"/>
            <w:vAlign w:val="center"/>
            <w:tcMar>
              <w:top w:w="95" w:type="dxa"/>
              <w:start w:w="110" w:type="dxa"/>
              <w:bottom w:w="95" w:type="dxa"/>
              <w:end w:w="110" w:type="dxa"/>
            </w:tcMar>
          </w:tcPr>
          <w:p>
            <w:pPr>
              <w:spacing w:after="0" w:line="240" w:lineRule="auto"/>
            </w:pPr>
            <w:r>
              <w:rPr>
                <w:rFonts w:ascii="Aptos" w:hAnsi="Aptos"/>
                <w:color w:val="202A33"/>
                <w:sz w:val="15"/>
              </w:rPr>
              <w:t>Local analytical database.</w:t>
            </w:r>
          </w:p>
        </w:tc>
        <w:tc>
          <w:tcPr>
            <w:tcW w:type="dxa" w:w="4032"/>
            <w:vAlign w:val="center"/>
            <w:tcMar>
              <w:top w:w="95" w:type="dxa"/>
              <w:start w:w="110" w:type="dxa"/>
              <w:bottom w:w="95" w:type="dxa"/>
              <w:end w:w="110" w:type="dxa"/>
            </w:tcMar>
          </w:tcPr>
          <w:p>
            <w:pPr>
              <w:spacing w:after="0" w:line="240" w:lineRule="auto"/>
            </w:pPr>
            <w:r>
              <w:rPr>
                <w:rFonts w:ascii="Aptos" w:hAnsi="Aptos"/>
                <w:color w:val="202A33"/>
                <w:sz w:val="15"/>
              </w:rPr>
              <w:t>Query observable transaction, feature, decision, and summary tables with SQLite.</w:t>
            </w:r>
          </w:p>
        </w:tc>
      </w:tr>
    </w:tbl>
    <w:p>
      <w:pPr>
        <w:spacing w:after="40"/>
      </w:pPr>
    </w:p>
    <w:p>
      <w:pPr>
        <w:keepLines w:val="0"/>
        <w:spacing w:after="120" w:before="0" w:line="259" w:lineRule="auto"/>
      </w:pPr>
      <w:r>
        <w:rPr>
          <w:rFonts w:ascii="Aptos" w:hAnsi="Aptos"/>
          <w:color w:val="202A33"/>
          <w:sz w:val="20"/>
        </w:rPr>
        <w:t>The dashboard does not calculate a new model score when a user changes a selector. It filters the already calculated scenario surface by capacity and economic assumption. This makes it a fast explanation tool, but not an unrestricted policy simulator.</w:t>
      </w:r>
    </w:p>
    <w:p>
      <w:pPr>
        <w:keepLines w:val="0"/>
        <w:spacing w:after="120" w:before="0" w:line="259" w:lineRule="auto"/>
      </w:pPr>
      <w:r>
        <w:rPr>
          <w:rFonts w:ascii="Aptos" w:hAnsi="Aptos"/>
          <w:color w:val="202A33"/>
          <w:sz w:val="20"/>
        </w:rPr>
        <w:t>The packaged data tools publish synthetic labels separately for transparent replication. The assembly command puts those labels under a restricted folder locally. Keep the label file separate from SQL investigations, feature generation, and live monitoring.</w:t>
      </w:r>
    </w:p>
    <w:p>
      <w:pPr>
        <w:pStyle w:val="Heading1"/>
        <w:keepNext/>
        <w:spacing w:before="240" w:after="100"/>
      </w:pPr>
      <w:r>
        <w:rPr>
          <w:rFonts w:ascii="Aptos" w:hAnsi="Aptos"/>
          <w:b/>
          <w:color w:val="000000"/>
          <w:sz w:val="34"/>
        </w:rPr>
        <w:t>13  Storage Choice and Reproducibility</w:t>
      </w:r>
    </w:p>
    <w:p>
      <w:pPr>
        <w:pStyle w:val="Heading2"/>
        <w:keepNext/>
        <w:spacing w:before="160" w:after="100"/>
      </w:pPr>
      <w:r>
        <w:rPr>
          <w:rFonts w:ascii="Aptos" w:hAnsi="Aptos"/>
          <w:b/>
          <w:color w:val="000000"/>
          <w:sz w:val="25"/>
        </w:rPr>
        <w:t>Why SQLite is suitable now</w:t>
      </w:r>
    </w:p>
    <w:p>
      <w:pPr>
        <w:keepLines w:val="0"/>
        <w:spacing w:after="120" w:before="0" w:line="259" w:lineRule="auto"/>
      </w:pPr>
      <w:r>
        <w:rPr>
          <w:rFonts w:ascii="Aptos" w:hAnsi="Aptos"/>
          <w:color w:val="202A33"/>
          <w:sz w:val="20"/>
        </w:rPr>
        <w:t>SQLite fits the current learning build because Python includes it, the project needs no server, and the database is easy to distribute and inspect. pandas writes each public output table through to_sql. The SQL investigations use ordinary SQLite syntax and operate on the generated database. This keeps setup friction low while the project is small and focused on concepts.</w:t>
      </w:r>
    </w:p>
    <w:p>
      <w:pPr>
        <w:pStyle w:val="Heading2"/>
        <w:keepNext/>
        <w:spacing w:before="160" w:after="100"/>
      </w:pPr>
      <w:r>
        <w:rPr>
          <w:rFonts w:ascii="Aptos" w:hAnsi="Aptos"/>
          <w:b/>
          <w:color w:val="000000"/>
          <w:sz w:val="25"/>
        </w:rPr>
        <w:t>When DuckDB and Parquet may be better</w:t>
      </w:r>
    </w:p>
    <w:p>
      <w:pPr>
        <w:keepLines w:val="0"/>
        <w:spacing w:after="120" w:before="0" w:line="259" w:lineRule="auto"/>
      </w:pPr>
      <w:r>
        <w:rPr>
          <w:rFonts w:ascii="Aptos" w:hAnsi="Aptos"/>
          <w:color w:val="202A33"/>
          <w:sz w:val="20"/>
        </w:rPr>
        <w:t>The earlier roadmap proposed DuckDB with Parquet for larger analytical data. DuckDB is designed for analytical scans and Parquet stores column-oriented files compactly. As the simulator grows from tens of thousands of rows toward millions, those formats may improve query speed and storage efficiency. SQLite can still handle many larger projects, so a migration should follow measured need rather than a row-count rule alone.</w:t>
      </w:r>
    </w:p>
    <w:p>
      <w:pPr>
        <w:keepLines w:val="0"/>
        <w:spacing w:after="120" w:before="0" w:line="259" w:lineRule="auto"/>
      </w:pPr>
      <w:r>
        <w:rPr>
          <w:rFonts w:ascii="Aptos" w:hAnsi="Aptos"/>
          <w:color w:val="202A33"/>
          <w:sz w:val="20"/>
        </w:rPr>
        <w:t>The current code already separates generation and transformations from storage.py, which reduces migration effort. A future design could write Parquet from the pipeline, query it with DuckDB, and keep CSV exports only for interchange. The SQL syntax and query runner would need targeted changes, and any migration should verify table parity and expected outputs.</w:t>
      </w:r>
    </w:p>
    <w:p>
      <w:pPr>
        <w:pStyle w:val="Heading2"/>
        <w:keepNext/>
        <w:spacing w:before="160" w:after="100"/>
      </w:pPr>
      <w:r>
        <w:rPr>
          <w:rFonts w:ascii="Aptos" w:hAnsi="Aptos"/>
          <w:b/>
          <w:color w:val="000000"/>
          <w:sz w:val="25"/>
        </w:rPr>
        <w:t>Repeatability</w:t>
      </w:r>
    </w:p>
    <w:p>
      <w:pPr>
        <w:keepLines w:val="0"/>
        <w:spacing w:after="120" w:before="0" w:line="259" w:lineRule="auto"/>
      </w:pPr>
      <w:r>
        <w:rPr>
          <w:rFonts w:ascii="Aptos" w:hAnsi="Aptos"/>
          <w:color w:val="202A33"/>
          <w:sz w:val="20"/>
        </w:rPr>
        <w:t>The seed is 20260915. Independent seed offsets are used for customer profiles, world entities and ordinary activity, and fraud injection so a change in one random draw sequence is less likely to alter unrelated layers. Reproducibility still depends on code, library versions, and configuration remaining compatible. Record changes to assumptions and versions when making a new release.</w:t>
      </w:r>
    </w:p>
    <w:p>
      <w:pPr>
        <w:pStyle w:val="Heading1"/>
        <w:keepNext/>
        <w:spacing w:before="240" w:after="100"/>
      </w:pPr>
      <w:r>
        <w:rPr>
          <w:rFonts w:ascii="Aptos" w:hAnsi="Aptos"/>
          <w:b/>
          <w:color w:val="000000"/>
          <w:sz w:val="34"/>
        </w:rPr>
        <w:t>14  Limits, Governance, and Roadmap</w:t>
      </w:r>
    </w:p>
    <w:p>
      <w:pPr>
        <w:pStyle w:val="Heading2"/>
        <w:keepNext/>
        <w:spacing w:before="160" w:after="100"/>
      </w:pPr>
      <w:r>
        <w:rPr>
          <w:rFonts w:ascii="Aptos" w:hAnsi="Aptos"/>
          <w:b/>
          <w:color w:val="000000"/>
          <w:sz w:val="25"/>
        </w:rPr>
        <w:t>What this version does not establish</w:t>
      </w:r>
    </w:p>
    <w:p>
      <w:pPr>
        <w:pStyle w:val="ListBullet"/>
        <w:spacing w:after="60" w:line="252" w:lineRule="auto"/>
      </w:pPr>
      <w:r>
        <w:rPr>
          <w:rFonts w:ascii="Aptos" w:hAnsi="Aptos"/>
          <w:color w:val="202A33"/>
          <w:sz w:val="20"/>
        </w:rPr>
        <w:t>The synthetic population, event counts, and financial assumptions are not calibrated to a real payments processor.</w:t>
      </w:r>
    </w:p>
    <w:p>
      <w:pPr>
        <w:pStyle w:val="ListBullet"/>
        <w:spacing w:after="60" w:line="252" w:lineRule="auto"/>
      </w:pPr>
      <w:r>
        <w:rPr>
          <w:rFonts w:ascii="Aptos" w:hAnsi="Aptos"/>
          <w:color w:val="202A33"/>
          <w:sz w:val="20"/>
        </w:rPr>
        <w:t>The fraud scenarios are planted and predictable patterns; real attackers adapt and produce broader behavior.</w:t>
      </w:r>
    </w:p>
    <w:p>
      <w:pPr>
        <w:pStyle w:val="ListBullet"/>
        <w:spacing w:after="60" w:line="252" w:lineRule="auto"/>
      </w:pPr>
      <w:r>
        <w:rPr>
          <w:rFonts w:ascii="Aptos" w:hAnsi="Aptos"/>
          <w:color w:val="202A33"/>
          <w:sz w:val="20"/>
        </w:rPr>
        <w:t>There is one account per customer and no device, IP, login, chargeback-delay, or real investigator workflow data.</w:t>
      </w:r>
    </w:p>
    <w:p>
      <w:pPr>
        <w:pStyle w:val="ListBullet"/>
        <w:spacing w:after="60" w:line="252" w:lineRule="auto"/>
      </w:pPr>
      <w:r>
        <w:rPr>
          <w:rFonts w:ascii="Aptos" w:hAnsi="Aptos"/>
          <w:color w:val="202A33"/>
          <w:sz w:val="20"/>
        </w:rPr>
        <w:t>The logistic model is a teaching baseline. There is no production calibration, drift certification, or model validation on real outcomes.</w:t>
      </w:r>
    </w:p>
    <w:p>
      <w:pPr>
        <w:pStyle w:val="ListBullet"/>
        <w:spacing w:after="60" w:line="252" w:lineRule="auto"/>
      </w:pPr>
      <w:r>
        <w:rPr>
          <w:rFonts w:ascii="Aptos" w:hAnsi="Aptos"/>
          <w:color w:val="202A33"/>
          <w:sz w:val="20"/>
        </w:rPr>
        <w:t>The customer-group outputs are descriptive checks, not fairness certification or causal evidence.</w:t>
      </w:r>
    </w:p>
    <w:p>
      <w:pPr>
        <w:pStyle w:val="ListBullet"/>
        <w:spacing w:after="60" w:line="252" w:lineRule="auto"/>
      </w:pPr>
      <w:r>
        <w:rPr>
          <w:rFonts w:ascii="Aptos" w:hAnsi="Aptos"/>
          <w:color w:val="202A33"/>
          <w:sz w:val="20"/>
        </w:rPr>
        <w:t>The dashboard shows precomputed scenarios, not a live scoring service or arbitrary threshold experiment.</w:t>
      </w:r>
    </w:p>
    <w:p>
      <w:pPr>
        <w:pStyle w:val="ListBullet"/>
        <w:spacing w:after="60" w:line="252" w:lineRule="auto"/>
      </w:pPr>
      <w:r>
        <w:rPr>
          <w:rFonts w:ascii="Aptos" w:hAnsi="Aptos"/>
          <w:color w:val="202A33"/>
          <w:sz w:val="20"/>
        </w:rPr>
        <w:t>The assumed challenge stop, review recovery, and customer attrition rates simplify complex behavior and may bias the economic ranking.</w:t>
      </w:r>
    </w:p>
    <w:p>
      <w:pPr>
        <w:pStyle w:val="Heading2"/>
        <w:keepNext/>
        <w:spacing w:before="160" w:after="100"/>
      </w:pPr>
      <w:r>
        <w:rPr>
          <w:rFonts w:ascii="Aptos" w:hAnsi="Aptos"/>
          <w:b/>
          <w:color w:val="000000"/>
          <w:sz w:val="25"/>
        </w:rPr>
        <w:t>Governance guardrails</w:t>
      </w:r>
    </w:p>
    <w:p>
      <w:pPr>
        <w:keepLines w:val="0"/>
        <w:spacing w:after="120" w:before="0" w:line="259" w:lineRule="auto"/>
      </w:pPr>
      <w:r>
        <w:rPr>
          <w:rFonts w:ascii="Aptos" w:hAnsi="Aptos"/>
          <w:color w:val="202A33"/>
          <w:sz w:val="20"/>
        </w:rPr>
        <w:t>Keep truth labels and typology names away from model inputs. Build every rolling signal with information available before the current event. Use chronological holdouts for changing behavior. Report more than accuracy: include precision-recall behavior, dollar capture, false declines, customer friction, review capacity, and sensitivity. Treat anomaly signals as investigation leads, not guilt decisions. Any real deployment would need approved data, calibrated economics, accountable human oversight, review and appeal mechanisms, fairness analysis, privacy controls, security review, and business and compliance approval.</w:t>
      </w:r>
    </w:p>
    <w:p>
      <w:pPr>
        <w:pStyle w:val="Heading2"/>
        <w:keepNext/>
        <w:spacing w:before="160" w:after="100"/>
      </w:pPr>
      <w:r>
        <w:rPr>
          <w:rFonts w:ascii="Aptos" w:hAnsi="Aptos"/>
          <w:b/>
          <w:color w:val="000000"/>
          <w:sz w:val="25"/>
        </w:rPr>
        <w:t>Roadmap state</w:t>
      </w:r>
    </w:p>
    <w:tbl>
      <w:tblPr>
        <w:tblW w:type="auto" w:w="0"/>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W w:w="9936" w:type="dxa"/>
      </w:tblPr>
      <w:tblGrid>
        <w:gridCol w:w="1872"/>
        <w:gridCol w:w="4032"/>
        <w:gridCol w:w="4032"/>
      </w:tblGrid>
      <w:tr>
        <w:trPr>
          <w:tblHeader w:val="true"/>
          <w:cantSplit/>
        </w:trPr>
        <w:tc>
          <w:tcPr>
            <w:tcW w:type="dxa" w:w="1872"/>
            <w:vAlign w:val="center"/>
            <w:shd w:fill="18364D" w:val="clear"/>
            <w:tcMar>
              <w:top w:w="95" w:type="dxa"/>
              <w:start w:w="110" w:type="dxa"/>
              <w:bottom w:w="95" w:type="dxa"/>
              <w:end w:w="110" w:type="dxa"/>
            </w:tcMar>
          </w:tcPr>
          <w:p>
            <w:pPr>
              <w:spacing w:after="0" w:line="240" w:lineRule="auto"/>
            </w:pPr>
            <w:r>
              <w:rPr>
                <w:rFonts w:ascii="Aptos" w:hAnsi="Aptos"/>
                <w:b/>
                <w:color w:val="FFFFFF"/>
                <w:sz w:val="15"/>
              </w:rPr>
              <w:t>Area</w:t>
            </w:r>
          </w:p>
        </w:tc>
        <w:tc>
          <w:tcPr>
            <w:tcW w:type="dxa" w:w="4032"/>
            <w:vAlign w:val="center"/>
            <w:shd w:fill="18364D" w:val="clear"/>
            <w:tcMar>
              <w:top w:w="95" w:type="dxa"/>
              <w:start w:w="110" w:type="dxa"/>
              <w:bottom w:w="95" w:type="dxa"/>
              <w:end w:w="110" w:type="dxa"/>
            </w:tcMar>
          </w:tcPr>
          <w:p>
            <w:pPr>
              <w:spacing w:after="0" w:line="240" w:lineRule="auto"/>
            </w:pPr>
            <w:r>
              <w:rPr>
                <w:rFonts w:ascii="Aptos" w:hAnsi="Aptos"/>
                <w:b/>
                <w:color w:val="FFFFFF"/>
                <w:sz w:val="15"/>
              </w:rPr>
              <w:t>Current state</w:t>
            </w:r>
          </w:p>
        </w:tc>
        <w:tc>
          <w:tcPr>
            <w:tcW w:type="dxa" w:w="4032"/>
            <w:vAlign w:val="center"/>
            <w:shd w:fill="18364D" w:val="clear"/>
            <w:tcMar>
              <w:top w:w="95" w:type="dxa"/>
              <w:start w:w="110" w:type="dxa"/>
              <w:bottom w:w="95" w:type="dxa"/>
              <w:end w:w="110" w:type="dxa"/>
            </w:tcMar>
          </w:tcPr>
          <w:p>
            <w:pPr>
              <w:spacing w:after="0" w:line="240" w:lineRule="auto"/>
            </w:pPr>
            <w:r>
              <w:rPr>
                <w:rFonts w:ascii="Aptos" w:hAnsi="Aptos"/>
                <w:b/>
                <w:color w:val="FFFFFF"/>
                <w:sz w:val="15"/>
              </w:rPr>
              <w:t>Reasonable next step</w:t>
            </w:r>
          </w:p>
        </w:tc>
      </w:tr>
      <w:tr>
        <w:trPr>
          <w:cantSplit/>
        </w:trPr>
        <w:tc>
          <w:tcPr>
            <w:tcW w:type="dxa" w:w="1872"/>
            <w:vAlign w:val="center"/>
            <w:tcMar>
              <w:top w:w="95" w:type="dxa"/>
              <w:start w:w="110" w:type="dxa"/>
              <w:bottom w:w="95" w:type="dxa"/>
              <w:end w:w="110" w:type="dxa"/>
            </w:tcMar>
          </w:tcPr>
          <w:p>
            <w:pPr>
              <w:spacing w:after="0" w:line="240" w:lineRule="auto"/>
            </w:pPr>
            <w:r>
              <w:rPr>
                <w:rFonts w:ascii="Aptos" w:hAnsi="Aptos"/>
                <w:color w:val="202A33"/>
                <w:sz w:val="15"/>
              </w:rPr>
              <w:t>SQL and reporting</w:t>
            </w:r>
          </w:p>
        </w:tc>
        <w:tc>
          <w:tcPr>
            <w:tcW w:type="dxa" w:w="4032"/>
            <w:vAlign w:val="center"/>
            <w:tcMar>
              <w:top w:w="95" w:type="dxa"/>
              <w:start w:w="110" w:type="dxa"/>
              <w:bottom w:w="95" w:type="dxa"/>
              <w:end w:w="110" w:type="dxa"/>
            </w:tcMar>
          </w:tcPr>
          <w:p>
            <w:pPr>
              <w:spacing w:after="0" w:line="240" w:lineRule="auto"/>
            </w:pPr>
            <w:r>
              <w:rPr>
                <w:rFonts w:ascii="Aptos" w:hAnsi="Aptos"/>
                <w:color w:val="202A33"/>
                <w:sz w:val="15"/>
              </w:rPr>
              <w:t>Complete learning prototype.</w:t>
            </w:r>
          </w:p>
        </w:tc>
        <w:tc>
          <w:tcPr>
            <w:tcW w:type="dxa" w:w="4032"/>
            <w:vAlign w:val="center"/>
            <w:tcMar>
              <w:top w:w="95" w:type="dxa"/>
              <w:start w:w="110" w:type="dxa"/>
              <w:bottom w:w="95" w:type="dxa"/>
              <w:end w:w="110" w:type="dxa"/>
            </w:tcMar>
          </w:tcPr>
          <w:p>
            <w:pPr>
              <w:spacing w:after="0" w:line="240" w:lineRule="auto"/>
            </w:pPr>
            <w:r>
              <w:rPr>
                <w:rFonts w:ascii="Aptos" w:hAnsi="Aptos"/>
                <w:color w:val="202A33"/>
                <w:sz w:val="15"/>
              </w:rPr>
              <w:t>Add more investigative queries as hypotheses arise.</w:t>
            </w:r>
          </w:p>
        </w:tc>
      </w:tr>
      <w:tr>
        <w:trPr>
          <w:cantSplit/>
        </w:trPr>
        <w:tc>
          <w:tcPr>
            <w:tcW w:type="dxa" w:w="187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Storage</w:t>
            </w:r>
          </w:p>
        </w:tc>
        <w:tc>
          <w:tcPr>
            <w:tcW w:type="dxa" w:w="403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SQLite and CSV outputs.</w:t>
            </w:r>
          </w:p>
        </w:tc>
        <w:tc>
          <w:tcPr>
            <w:tcW w:type="dxa" w:w="403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Benchmark DuckDB plus Parquet before scaling data.</w:t>
            </w:r>
          </w:p>
        </w:tc>
      </w:tr>
      <w:tr>
        <w:trPr>
          <w:cantSplit/>
        </w:trPr>
        <w:tc>
          <w:tcPr>
            <w:tcW w:type="dxa" w:w="1872"/>
            <w:vAlign w:val="center"/>
            <w:tcMar>
              <w:top w:w="95" w:type="dxa"/>
              <w:start w:w="110" w:type="dxa"/>
              <w:bottom w:w="95" w:type="dxa"/>
              <w:end w:w="110" w:type="dxa"/>
            </w:tcMar>
          </w:tcPr>
          <w:p>
            <w:pPr>
              <w:spacing w:after="0" w:line="240" w:lineRule="auto"/>
            </w:pPr>
            <w:r>
              <w:rPr>
                <w:rFonts w:ascii="Aptos" w:hAnsi="Aptos"/>
                <w:color w:val="202A33"/>
                <w:sz w:val="15"/>
              </w:rPr>
              <w:t>Models</w:t>
            </w:r>
          </w:p>
        </w:tc>
        <w:tc>
          <w:tcPr>
            <w:tcW w:type="dxa" w:w="4032"/>
            <w:vAlign w:val="center"/>
            <w:tcMar>
              <w:top w:w="95" w:type="dxa"/>
              <w:start w:w="110" w:type="dxa"/>
              <w:bottom w:w="95" w:type="dxa"/>
              <w:end w:w="110" w:type="dxa"/>
            </w:tcMar>
          </w:tcPr>
          <w:p>
            <w:pPr>
              <w:spacing w:after="0" w:line="240" w:lineRule="auto"/>
            </w:pPr>
            <w:r>
              <w:rPr>
                <w:rFonts w:ascii="Aptos" w:hAnsi="Aptos"/>
                <w:color w:val="202A33"/>
                <w:sz w:val="15"/>
              </w:rPr>
              <w:t>Transparent rules and NumPy logistic baseline.</w:t>
            </w:r>
          </w:p>
        </w:tc>
        <w:tc>
          <w:tcPr>
            <w:tcW w:type="dxa" w:w="4032"/>
            <w:vAlign w:val="center"/>
            <w:tcMar>
              <w:top w:w="95" w:type="dxa"/>
              <w:start w:w="110" w:type="dxa"/>
              <w:bottom w:w="95" w:type="dxa"/>
              <w:end w:w="110" w:type="dxa"/>
            </w:tcMar>
          </w:tcPr>
          <w:p>
            <w:pPr>
              <w:spacing w:after="0" w:line="240" w:lineRule="auto"/>
            </w:pPr>
            <w:r>
              <w:rPr>
                <w:rFonts w:ascii="Aptos" w:hAnsi="Aptos"/>
                <w:color w:val="202A33"/>
                <w:sz w:val="15"/>
              </w:rPr>
              <w:t>Compare a tree-based model using the same temporal protocol and costs.</w:t>
            </w:r>
          </w:p>
        </w:tc>
      </w:tr>
      <w:tr>
        <w:trPr>
          <w:cantSplit/>
        </w:trPr>
        <w:tc>
          <w:tcPr>
            <w:tcW w:type="dxa" w:w="187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Signals</w:t>
            </w:r>
          </w:p>
        </w:tc>
        <w:tc>
          <w:tcPr>
            <w:tcW w:type="dxa" w:w="403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Customer-terminal and channel/authentication context.</w:t>
            </w:r>
          </w:p>
        </w:tc>
        <w:tc>
          <w:tcPr>
            <w:tcW w:type="dxa" w:w="403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Add simulated device, IP, and login relationships.</w:t>
            </w:r>
          </w:p>
        </w:tc>
      </w:tr>
      <w:tr>
        <w:trPr>
          <w:cantSplit/>
        </w:trPr>
        <w:tc>
          <w:tcPr>
            <w:tcW w:type="dxa" w:w="1872"/>
            <w:vAlign w:val="center"/>
            <w:tcMar>
              <w:top w:w="95" w:type="dxa"/>
              <w:start w:w="110" w:type="dxa"/>
              <w:bottom w:w="95" w:type="dxa"/>
              <w:end w:w="110" w:type="dxa"/>
            </w:tcMar>
          </w:tcPr>
          <w:p>
            <w:pPr>
              <w:spacing w:after="0" w:line="240" w:lineRule="auto"/>
            </w:pPr>
            <w:r>
              <w:rPr>
                <w:rFonts w:ascii="Aptos" w:hAnsi="Aptos"/>
                <w:color w:val="202A33"/>
                <w:sz w:val="15"/>
              </w:rPr>
              <w:t>Monitoring</w:t>
            </w:r>
          </w:p>
        </w:tc>
        <w:tc>
          <w:tcPr>
            <w:tcW w:type="dxa" w:w="4032"/>
            <w:vAlign w:val="center"/>
            <w:tcMar>
              <w:top w:w="95" w:type="dxa"/>
              <w:start w:w="110" w:type="dxa"/>
              <w:bottom w:w="95" w:type="dxa"/>
              <w:end w:w="110" w:type="dxa"/>
            </w:tcMar>
          </w:tcPr>
          <w:p>
            <w:pPr>
              <w:spacing w:after="0" w:line="240" w:lineRule="auto"/>
            </w:pPr>
            <w:r>
              <w:rPr>
                <w:rFonts w:ascii="Aptos" w:hAnsi="Aptos"/>
                <w:color w:val="202A33"/>
                <w:sz w:val="15"/>
              </w:rPr>
              <w:t>Daily rolling z-scores and group summaries.</w:t>
            </w:r>
          </w:p>
        </w:tc>
        <w:tc>
          <w:tcPr>
            <w:tcW w:type="dxa" w:w="4032"/>
            <w:vAlign w:val="center"/>
            <w:tcMar>
              <w:top w:w="95" w:type="dxa"/>
              <w:start w:w="110" w:type="dxa"/>
              <w:bottom w:w="95" w:type="dxa"/>
              <w:end w:w="110" w:type="dxa"/>
            </w:tcMar>
          </w:tcPr>
          <w:p>
            <w:pPr>
              <w:spacing w:after="0" w:line="240" w:lineRule="auto"/>
            </w:pPr>
            <w:r>
              <w:rPr>
                <w:rFonts w:ascii="Aptos" w:hAnsi="Aptos"/>
                <w:color w:val="202A33"/>
                <w:sz w:val="15"/>
              </w:rPr>
              <w:t>Evaluate seasonal baselines, stability, and clearer alert operations.</w:t>
            </w:r>
          </w:p>
        </w:tc>
      </w:tr>
      <w:tr>
        <w:trPr>
          <w:cantSplit/>
        </w:trPr>
        <w:tc>
          <w:tcPr>
            <w:tcW w:type="dxa" w:w="187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Dashboard</w:t>
            </w:r>
          </w:p>
        </w:tc>
        <w:tc>
          <w:tcPr>
            <w:tcW w:type="dxa" w:w="403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Standalone HTML view over saved scenarios.</w:t>
            </w:r>
          </w:p>
        </w:tc>
        <w:tc>
          <w:tcPr>
            <w:tcW w:type="dxa" w:w="4032"/>
            <w:vAlign w:val="center"/>
            <w:tcMar>
              <w:top w:w="95" w:type="dxa"/>
              <w:start w:w="110" w:type="dxa"/>
              <w:bottom w:w="95" w:type="dxa"/>
              <w:end w:w="110" w:type="dxa"/>
            </w:tcMar>
            <w:shd w:fill="EAF1F6" w:val="clear"/>
          </w:tcPr>
          <w:p>
            <w:pPr>
              <w:spacing w:after="0" w:line="240" w:lineRule="auto"/>
            </w:pPr>
            <w:r>
              <w:rPr>
                <w:rFonts w:ascii="Aptos" w:hAnsi="Aptos"/>
                <w:color w:val="202A33"/>
                <w:sz w:val="15"/>
              </w:rPr>
              <w:t>Build a richer live threshold simulator or Power BI presentation if useful.</w:t>
            </w:r>
          </w:p>
        </w:tc>
      </w:tr>
      <w:tr>
        <w:trPr>
          <w:cantSplit/>
        </w:trPr>
        <w:tc>
          <w:tcPr>
            <w:tcW w:type="dxa" w:w="1872"/>
            <w:vAlign w:val="center"/>
            <w:tcMar>
              <w:top w:w="95" w:type="dxa"/>
              <w:start w:w="110" w:type="dxa"/>
              <w:bottom w:w="95" w:type="dxa"/>
              <w:end w:w="110" w:type="dxa"/>
            </w:tcMar>
          </w:tcPr>
          <w:p>
            <w:pPr>
              <w:spacing w:after="0" w:line="240" w:lineRule="auto"/>
            </w:pPr>
            <w:r>
              <w:rPr>
                <w:rFonts w:ascii="Aptos" w:hAnsi="Aptos"/>
                <w:color w:val="202A33"/>
                <w:sz w:val="15"/>
              </w:rPr>
              <w:t>Deployment</w:t>
            </w:r>
          </w:p>
        </w:tc>
        <w:tc>
          <w:tcPr>
            <w:tcW w:type="dxa" w:w="4032"/>
            <w:vAlign w:val="center"/>
            <w:tcMar>
              <w:top w:w="95" w:type="dxa"/>
              <w:start w:w="110" w:type="dxa"/>
              <w:bottom w:w="95" w:type="dxa"/>
              <w:end w:w="110" w:type="dxa"/>
            </w:tcMar>
          </w:tcPr>
          <w:p>
            <w:pPr>
              <w:spacing w:after="0" w:line="240" w:lineRule="auto"/>
            </w:pPr>
            <w:r>
              <w:rPr>
                <w:rFonts w:ascii="Aptos" w:hAnsi="Aptos"/>
                <w:color w:val="202A33"/>
                <w:sz w:val="15"/>
              </w:rPr>
              <w:t>Portfolio simulation only.</w:t>
            </w:r>
          </w:p>
        </w:tc>
        <w:tc>
          <w:tcPr>
            <w:tcW w:type="dxa" w:w="4032"/>
            <w:vAlign w:val="center"/>
            <w:tcMar>
              <w:top w:w="95" w:type="dxa"/>
              <w:start w:w="110" w:type="dxa"/>
              <w:bottom w:w="95" w:type="dxa"/>
              <w:end w:w="110" w:type="dxa"/>
            </w:tcMar>
          </w:tcPr>
          <w:p>
            <w:pPr>
              <w:spacing w:after="0" w:line="240" w:lineRule="auto"/>
            </w:pPr>
            <w:r>
              <w:rPr>
                <w:rFonts w:ascii="Aptos" w:hAnsi="Aptos"/>
                <w:color w:val="202A33"/>
                <w:sz w:val="15"/>
              </w:rPr>
              <w:t>Do not deploy without real-data governance and production controls.</w:t>
            </w:r>
          </w:p>
        </w:tc>
      </w:tr>
    </w:tbl>
    <w:p>
      <w:pPr>
        <w:spacing w:after="40"/>
      </w:pPr>
    </w:p>
    <w:p>
      <w:pPr>
        <w:pStyle w:val="Heading1"/>
        <w:keepNext/>
        <w:spacing w:before="240" w:after="100"/>
      </w:pPr>
      <w:r>
        <w:rPr>
          <w:rFonts w:ascii="Aptos" w:hAnsi="Aptos"/>
          <w:b/>
          <w:color w:val="000000"/>
          <w:sz w:val="34"/>
        </w:rPr>
        <w:t>15  Glossary and Reference Map</w:t>
      </w:r>
    </w:p>
    <w:tbl>
      <w:tblPr>
        <w:tblW w:type="auto" w:w="0"/>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W w:w="9936" w:type="dxa"/>
      </w:tblPr>
      <w:tblGrid>
        <w:gridCol w:w="2520"/>
        <w:gridCol w:w="7416"/>
      </w:tblGrid>
      <w:tr>
        <w:trPr>
          <w:tblHeader w:val="true"/>
          <w:cantSplit/>
        </w:trPr>
        <w:tc>
          <w:tcPr>
            <w:tcW w:type="dxa" w:w="2520"/>
            <w:vAlign w:val="center"/>
            <w:shd w:fill="18364D" w:val="clear"/>
            <w:tcMar>
              <w:top w:w="95" w:type="dxa"/>
              <w:start w:w="110" w:type="dxa"/>
              <w:bottom w:w="95" w:type="dxa"/>
              <w:end w:w="110" w:type="dxa"/>
            </w:tcMar>
          </w:tcPr>
          <w:p>
            <w:pPr>
              <w:spacing w:after="0" w:line="240" w:lineRule="auto"/>
            </w:pPr>
            <w:r>
              <w:rPr>
                <w:rFonts w:ascii="Aptos" w:hAnsi="Aptos"/>
                <w:b/>
                <w:color w:val="FFFFFF"/>
                <w:sz w:val="16"/>
              </w:rPr>
              <w:t>Term</w:t>
            </w:r>
          </w:p>
        </w:tc>
        <w:tc>
          <w:tcPr>
            <w:tcW w:type="dxa" w:w="7416"/>
            <w:vAlign w:val="center"/>
            <w:shd w:fill="18364D" w:val="clear"/>
            <w:tcMar>
              <w:top w:w="95" w:type="dxa"/>
              <w:start w:w="110" w:type="dxa"/>
              <w:bottom w:w="95" w:type="dxa"/>
              <w:end w:w="110" w:type="dxa"/>
            </w:tcMar>
          </w:tcPr>
          <w:p>
            <w:pPr>
              <w:spacing w:after="0" w:line="240" w:lineRule="auto"/>
            </w:pPr>
            <w:r>
              <w:rPr>
                <w:rFonts w:ascii="Aptos" w:hAnsi="Aptos"/>
                <w:b/>
                <w:color w:val="FFFFFF"/>
                <w:sz w:val="16"/>
              </w:rPr>
              <w:t>Meaning in this project</w:t>
            </w:r>
          </w:p>
        </w:tc>
      </w:tr>
      <w:tr>
        <w:trPr>
          <w:cantSplit/>
        </w:trPr>
        <w:tc>
          <w:tcPr>
            <w:tcW w:type="dxa" w:w="2520"/>
            <w:vAlign w:val="center"/>
            <w:tcMar>
              <w:top w:w="95" w:type="dxa"/>
              <w:start w:w="110" w:type="dxa"/>
              <w:bottom w:w="95" w:type="dxa"/>
              <w:end w:w="110" w:type="dxa"/>
            </w:tcMar>
          </w:tcPr>
          <w:p>
            <w:pPr>
              <w:spacing w:after="0" w:line="240" w:lineRule="auto"/>
            </w:pPr>
            <w:r>
              <w:rPr>
                <w:rFonts w:ascii="Aptos" w:hAnsi="Aptos"/>
                <w:color w:val="202A33"/>
                <w:sz w:val="16"/>
              </w:rPr>
              <w:t>Baseline</w:t>
            </w:r>
          </w:p>
        </w:tc>
        <w:tc>
          <w:tcPr>
            <w:tcW w:type="dxa" w:w="7416"/>
            <w:vAlign w:val="center"/>
            <w:tcMar>
              <w:top w:w="95" w:type="dxa"/>
              <w:start w:w="110" w:type="dxa"/>
              <w:bottom w:w="95" w:type="dxa"/>
              <w:end w:w="110" w:type="dxa"/>
            </w:tcMar>
          </w:tcPr>
          <w:p>
            <w:pPr>
              <w:spacing w:after="0" w:line="240" w:lineRule="auto"/>
            </w:pPr>
            <w:r>
              <w:rPr>
                <w:rFonts w:ascii="Aptos" w:hAnsi="Aptos"/>
                <w:color w:val="202A33"/>
                <w:sz w:val="16"/>
              </w:rPr>
              <w:t>The ordinary synthetic activity or existing simple decision behavior used for comparison.</w:t>
            </w:r>
          </w:p>
        </w:tc>
      </w:tr>
      <w:tr>
        <w:trPr>
          <w:cantSplit/>
        </w:trPr>
        <w:tc>
          <w:tcPr>
            <w:tcW w:type="dxa" w:w="2520"/>
            <w:vAlign w:val="center"/>
            <w:tcMar>
              <w:top w:w="95" w:type="dxa"/>
              <w:start w:w="110" w:type="dxa"/>
              <w:bottom w:w="95" w:type="dxa"/>
              <w:end w:w="110" w:type="dxa"/>
            </w:tcMar>
            <w:shd w:fill="EAF1F6" w:val="clear"/>
          </w:tcPr>
          <w:p>
            <w:pPr>
              <w:spacing w:after="0" w:line="240" w:lineRule="auto"/>
            </w:pPr>
            <w:r>
              <w:rPr>
                <w:rFonts w:ascii="Aptos" w:hAnsi="Aptos"/>
                <w:color w:val="202A33"/>
                <w:sz w:val="16"/>
              </w:rPr>
              <w:t>Ground truth</w:t>
            </w:r>
          </w:p>
        </w:tc>
        <w:tc>
          <w:tcPr>
            <w:tcW w:type="dxa" w:w="7416"/>
            <w:vAlign w:val="center"/>
            <w:tcMar>
              <w:top w:w="95" w:type="dxa"/>
              <w:start w:w="110" w:type="dxa"/>
              <w:bottom w:w="95" w:type="dxa"/>
              <w:end w:w="110" w:type="dxa"/>
            </w:tcMar>
            <w:shd w:fill="EAF1F6" w:val="clear"/>
          </w:tcPr>
          <w:p>
            <w:pPr>
              <w:spacing w:after="0" w:line="240" w:lineRule="auto"/>
            </w:pPr>
            <w:r>
              <w:rPr>
                <w:rFonts w:ascii="Aptos" w:hAnsi="Aptos"/>
                <w:color w:val="202A33"/>
                <w:sz w:val="16"/>
              </w:rPr>
              <w:t>The generator's known record of which synthetic events it planted as fraud.</w:t>
            </w:r>
          </w:p>
        </w:tc>
      </w:tr>
      <w:tr>
        <w:trPr>
          <w:cantSplit/>
        </w:trPr>
        <w:tc>
          <w:tcPr>
            <w:tcW w:type="dxa" w:w="2520"/>
            <w:vAlign w:val="center"/>
            <w:tcMar>
              <w:top w:w="95" w:type="dxa"/>
              <w:start w:w="110" w:type="dxa"/>
              <w:bottom w:w="95" w:type="dxa"/>
              <w:end w:w="110" w:type="dxa"/>
            </w:tcMar>
          </w:tcPr>
          <w:p>
            <w:pPr>
              <w:spacing w:after="0" w:line="240" w:lineRule="auto"/>
            </w:pPr>
            <w:r>
              <w:rPr>
                <w:rFonts w:ascii="Aptos" w:hAnsi="Aptos"/>
                <w:color w:val="202A33"/>
                <w:sz w:val="16"/>
              </w:rPr>
              <w:t>Leakage</w:t>
            </w:r>
          </w:p>
        </w:tc>
        <w:tc>
          <w:tcPr>
            <w:tcW w:type="dxa" w:w="7416"/>
            <w:vAlign w:val="center"/>
            <w:tcMar>
              <w:top w:w="95" w:type="dxa"/>
              <w:start w:w="110" w:type="dxa"/>
              <w:bottom w:w="95" w:type="dxa"/>
              <w:end w:w="110" w:type="dxa"/>
            </w:tcMar>
          </w:tcPr>
          <w:p>
            <w:pPr>
              <w:spacing w:after="0" w:line="240" w:lineRule="auto"/>
            </w:pPr>
            <w:r>
              <w:rPr>
                <w:rFonts w:ascii="Aptos" w:hAnsi="Aptos"/>
                <w:color w:val="202A33"/>
                <w:sz w:val="16"/>
              </w:rPr>
              <w:t>Using information that would be unknown at the time a transaction is scored.</w:t>
            </w:r>
          </w:p>
        </w:tc>
      </w:tr>
      <w:tr>
        <w:trPr>
          <w:cantSplit/>
        </w:trPr>
        <w:tc>
          <w:tcPr>
            <w:tcW w:type="dxa" w:w="2520"/>
            <w:vAlign w:val="center"/>
            <w:tcMar>
              <w:top w:w="95" w:type="dxa"/>
              <w:start w:w="110" w:type="dxa"/>
              <w:bottom w:w="95" w:type="dxa"/>
              <w:end w:w="110" w:type="dxa"/>
            </w:tcMar>
            <w:shd w:fill="EAF1F6" w:val="clear"/>
          </w:tcPr>
          <w:p>
            <w:pPr>
              <w:spacing w:after="0" w:line="240" w:lineRule="auto"/>
            </w:pPr>
            <w:r>
              <w:rPr>
                <w:rFonts w:ascii="Aptos" w:hAnsi="Aptos"/>
                <w:color w:val="202A33"/>
                <w:sz w:val="16"/>
              </w:rPr>
              <w:t>Point-in-time feature</w:t>
            </w:r>
          </w:p>
        </w:tc>
        <w:tc>
          <w:tcPr>
            <w:tcW w:type="dxa" w:w="7416"/>
            <w:vAlign w:val="center"/>
            <w:tcMar>
              <w:top w:w="95" w:type="dxa"/>
              <w:start w:w="110" w:type="dxa"/>
              <w:bottom w:w="95" w:type="dxa"/>
              <w:end w:w="110" w:type="dxa"/>
            </w:tcMar>
            <w:shd w:fill="EAF1F6" w:val="clear"/>
          </w:tcPr>
          <w:p>
            <w:pPr>
              <w:spacing w:after="0" w:line="240" w:lineRule="auto"/>
            </w:pPr>
            <w:r>
              <w:rPr>
                <w:rFonts w:ascii="Aptos" w:hAnsi="Aptos"/>
                <w:color w:val="202A33"/>
                <w:sz w:val="16"/>
              </w:rPr>
              <w:t>A feature calculated only from event context available at the current decision time.</w:t>
            </w:r>
          </w:p>
        </w:tc>
      </w:tr>
      <w:tr>
        <w:trPr>
          <w:cantSplit/>
        </w:trPr>
        <w:tc>
          <w:tcPr>
            <w:tcW w:type="dxa" w:w="2520"/>
            <w:vAlign w:val="center"/>
            <w:tcMar>
              <w:top w:w="95" w:type="dxa"/>
              <w:start w:w="110" w:type="dxa"/>
              <w:bottom w:w="95" w:type="dxa"/>
              <w:end w:w="110" w:type="dxa"/>
            </w:tcMar>
          </w:tcPr>
          <w:p>
            <w:pPr>
              <w:spacing w:after="0" w:line="240" w:lineRule="auto"/>
            </w:pPr>
            <w:r>
              <w:rPr>
                <w:rFonts w:ascii="Aptos" w:hAnsi="Aptos"/>
                <w:color w:val="202A33"/>
                <w:sz w:val="16"/>
              </w:rPr>
              <w:t>Temporal holdout</w:t>
            </w:r>
          </w:p>
        </w:tc>
        <w:tc>
          <w:tcPr>
            <w:tcW w:type="dxa" w:w="7416"/>
            <w:vAlign w:val="center"/>
            <w:tcMar>
              <w:top w:w="95" w:type="dxa"/>
              <w:start w:w="110" w:type="dxa"/>
              <w:bottom w:w="95" w:type="dxa"/>
              <w:end w:w="110" w:type="dxa"/>
            </w:tcMar>
          </w:tcPr>
          <w:p>
            <w:pPr>
              <w:spacing w:after="0" w:line="240" w:lineRule="auto"/>
            </w:pPr>
            <w:r>
              <w:rPr>
                <w:rFonts w:ascii="Aptos" w:hAnsi="Aptos"/>
                <w:color w:val="202A33"/>
                <w:sz w:val="16"/>
              </w:rPr>
              <w:t>A future block of dates held out to evaluate how a strategy handles later events.</w:t>
            </w:r>
          </w:p>
        </w:tc>
      </w:tr>
      <w:tr>
        <w:trPr>
          <w:cantSplit/>
        </w:trPr>
        <w:tc>
          <w:tcPr>
            <w:tcW w:type="dxa" w:w="2520"/>
            <w:vAlign w:val="center"/>
            <w:tcMar>
              <w:top w:w="95" w:type="dxa"/>
              <w:start w:w="110" w:type="dxa"/>
              <w:bottom w:w="95" w:type="dxa"/>
              <w:end w:w="110" w:type="dxa"/>
            </w:tcMar>
            <w:shd w:fill="EAF1F6" w:val="clear"/>
          </w:tcPr>
          <w:p>
            <w:pPr>
              <w:spacing w:after="0" w:line="240" w:lineRule="auto"/>
            </w:pPr>
            <w:r>
              <w:rPr>
                <w:rFonts w:ascii="Aptos" w:hAnsi="Aptos"/>
                <w:color w:val="202A33"/>
                <w:sz w:val="16"/>
              </w:rPr>
              <w:t>Precision</w:t>
            </w:r>
          </w:p>
        </w:tc>
        <w:tc>
          <w:tcPr>
            <w:tcW w:type="dxa" w:w="7416"/>
            <w:vAlign w:val="center"/>
            <w:tcMar>
              <w:top w:w="95" w:type="dxa"/>
              <w:start w:w="110" w:type="dxa"/>
              <w:bottom w:w="95" w:type="dxa"/>
              <w:end w:w="110" w:type="dxa"/>
            </w:tcMar>
            <w:shd w:fill="EAF1F6" w:val="clear"/>
          </w:tcPr>
          <w:p>
            <w:pPr>
              <w:spacing w:after="0" w:line="240" w:lineRule="auto"/>
            </w:pPr>
            <w:r>
              <w:rPr>
                <w:rFonts w:ascii="Aptos" w:hAnsi="Aptos"/>
                <w:color w:val="202A33"/>
                <w:sz w:val="16"/>
              </w:rPr>
              <w:t>Among events that received an intervention, the share that were planted fraud.</w:t>
            </w:r>
          </w:p>
        </w:tc>
      </w:tr>
      <w:tr>
        <w:trPr>
          <w:cantSplit/>
        </w:trPr>
        <w:tc>
          <w:tcPr>
            <w:tcW w:type="dxa" w:w="2520"/>
            <w:vAlign w:val="center"/>
            <w:tcMar>
              <w:top w:w="95" w:type="dxa"/>
              <w:start w:w="110" w:type="dxa"/>
              <w:bottom w:w="95" w:type="dxa"/>
              <w:end w:w="110" w:type="dxa"/>
            </w:tcMar>
          </w:tcPr>
          <w:p>
            <w:pPr>
              <w:spacing w:after="0" w:line="240" w:lineRule="auto"/>
            </w:pPr>
            <w:r>
              <w:rPr>
                <w:rFonts w:ascii="Aptos" w:hAnsi="Aptos"/>
                <w:color w:val="202A33"/>
                <w:sz w:val="16"/>
              </w:rPr>
              <w:t>Recall</w:t>
            </w:r>
          </w:p>
        </w:tc>
        <w:tc>
          <w:tcPr>
            <w:tcW w:type="dxa" w:w="7416"/>
            <w:vAlign w:val="center"/>
            <w:tcMar>
              <w:top w:w="95" w:type="dxa"/>
              <w:start w:w="110" w:type="dxa"/>
              <w:bottom w:w="95" w:type="dxa"/>
              <w:end w:w="110" w:type="dxa"/>
            </w:tcMar>
          </w:tcPr>
          <w:p>
            <w:pPr>
              <w:spacing w:after="0" w:line="240" w:lineRule="auto"/>
            </w:pPr>
            <w:r>
              <w:rPr>
                <w:rFonts w:ascii="Aptos" w:hAnsi="Aptos"/>
                <w:color w:val="202A33"/>
                <w:sz w:val="16"/>
              </w:rPr>
              <w:t>Among planted fraud events, the share that received an intervention.</w:t>
            </w:r>
          </w:p>
        </w:tc>
      </w:tr>
      <w:tr>
        <w:trPr>
          <w:cantSplit/>
        </w:trPr>
        <w:tc>
          <w:tcPr>
            <w:tcW w:type="dxa" w:w="2520"/>
            <w:vAlign w:val="center"/>
            <w:tcMar>
              <w:top w:w="95" w:type="dxa"/>
              <w:start w:w="110" w:type="dxa"/>
              <w:bottom w:w="95" w:type="dxa"/>
              <w:end w:w="110" w:type="dxa"/>
            </w:tcMar>
            <w:shd w:fill="EAF1F6" w:val="clear"/>
          </w:tcPr>
          <w:p>
            <w:pPr>
              <w:spacing w:after="0" w:line="240" w:lineRule="auto"/>
            </w:pPr>
            <w:r>
              <w:rPr>
                <w:rFonts w:ascii="Aptos" w:hAnsi="Aptos"/>
                <w:color w:val="202A33"/>
                <w:sz w:val="16"/>
              </w:rPr>
              <w:t>PR-AUC</w:t>
            </w:r>
          </w:p>
        </w:tc>
        <w:tc>
          <w:tcPr>
            <w:tcW w:type="dxa" w:w="7416"/>
            <w:vAlign w:val="center"/>
            <w:tcMar>
              <w:top w:w="95" w:type="dxa"/>
              <w:start w:w="110" w:type="dxa"/>
              <w:bottom w:w="95" w:type="dxa"/>
              <w:end w:w="110" w:type="dxa"/>
            </w:tcMar>
            <w:shd w:fill="EAF1F6" w:val="clear"/>
          </w:tcPr>
          <w:p>
            <w:pPr>
              <w:spacing w:after="0" w:line="240" w:lineRule="auto"/>
            </w:pPr>
            <w:r>
              <w:rPr>
                <w:rFonts w:ascii="Aptos" w:hAnsi="Aptos"/>
                <w:color w:val="202A33"/>
                <w:sz w:val="16"/>
              </w:rPr>
              <w:t>Area under the precision-recall ranking curve; summarizes rare-event ranking behavior.</w:t>
            </w:r>
          </w:p>
        </w:tc>
      </w:tr>
      <w:tr>
        <w:trPr>
          <w:cantSplit/>
        </w:trPr>
        <w:tc>
          <w:tcPr>
            <w:tcW w:type="dxa" w:w="2520"/>
            <w:vAlign w:val="center"/>
            <w:tcMar>
              <w:top w:w="95" w:type="dxa"/>
              <w:start w:w="110" w:type="dxa"/>
              <w:bottom w:w="95" w:type="dxa"/>
              <w:end w:w="110" w:type="dxa"/>
            </w:tcMar>
          </w:tcPr>
          <w:p>
            <w:pPr>
              <w:spacing w:after="0" w:line="240" w:lineRule="auto"/>
            </w:pPr>
            <w:r>
              <w:rPr>
                <w:rFonts w:ascii="Aptos" w:hAnsi="Aptos"/>
                <w:color w:val="202A33"/>
                <w:sz w:val="16"/>
              </w:rPr>
              <w:t>Capture</w:t>
            </w:r>
          </w:p>
        </w:tc>
        <w:tc>
          <w:tcPr>
            <w:tcW w:type="dxa" w:w="7416"/>
            <w:vAlign w:val="center"/>
            <w:tcMar>
              <w:top w:w="95" w:type="dxa"/>
              <w:start w:w="110" w:type="dxa"/>
              <w:bottom w:w="95" w:type="dxa"/>
              <w:end w:w="110" w:type="dxa"/>
            </w:tcMar>
          </w:tcPr>
          <w:p>
            <w:pPr>
              <w:spacing w:after="0" w:line="240" w:lineRule="auto"/>
            </w:pPr>
            <w:r>
              <w:rPr>
                <w:rFonts w:ascii="Aptos" w:hAnsi="Aptos"/>
                <w:color w:val="202A33"/>
                <w:sz w:val="16"/>
              </w:rPr>
              <w:t>Fraud value multiplied by the assumed success fraction of the selected action.</w:t>
            </w:r>
          </w:p>
        </w:tc>
      </w:tr>
      <w:tr>
        <w:trPr>
          <w:cantSplit/>
        </w:trPr>
        <w:tc>
          <w:tcPr>
            <w:tcW w:type="dxa" w:w="2520"/>
            <w:vAlign w:val="center"/>
            <w:tcMar>
              <w:top w:w="95" w:type="dxa"/>
              <w:start w:w="110" w:type="dxa"/>
              <w:bottom w:w="95" w:type="dxa"/>
              <w:end w:w="110" w:type="dxa"/>
            </w:tcMar>
            <w:shd w:fill="EAF1F6" w:val="clear"/>
          </w:tcPr>
          <w:p>
            <w:pPr>
              <w:spacing w:after="0" w:line="240" w:lineRule="auto"/>
            </w:pPr>
            <w:r>
              <w:rPr>
                <w:rFonts w:ascii="Aptos" w:hAnsi="Aptos"/>
                <w:color w:val="202A33"/>
                <w:sz w:val="16"/>
              </w:rPr>
              <w:t>False decline</w:t>
            </w:r>
          </w:p>
        </w:tc>
        <w:tc>
          <w:tcPr>
            <w:tcW w:type="dxa" w:w="7416"/>
            <w:vAlign w:val="center"/>
            <w:tcMar>
              <w:top w:w="95" w:type="dxa"/>
              <w:start w:w="110" w:type="dxa"/>
              <w:bottom w:w="95" w:type="dxa"/>
              <w:end w:w="110" w:type="dxa"/>
            </w:tcMar>
            <w:shd w:fill="EAF1F6" w:val="clear"/>
          </w:tcPr>
          <w:p>
            <w:pPr>
              <w:spacing w:after="0" w:line="240" w:lineRule="auto"/>
            </w:pPr>
            <w:r>
              <w:rPr>
                <w:rFonts w:ascii="Aptos" w:hAnsi="Aptos"/>
                <w:color w:val="202A33"/>
                <w:sz w:val="16"/>
              </w:rPr>
              <w:t>A legitimate event that the strategy declines.</w:t>
            </w:r>
          </w:p>
        </w:tc>
      </w:tr>
      <w:tr>
        <w:trPr>
          <w:cantSplit/>
        </w:trPr>
        <w:tc>
          <w:tcPr>
            <w:tcW w:type="dxa" w:w="2520"/>
            <w:vAlign w:val="center"/>
            <w:tcMar>
              <w:top w:w="95" w:type="dxa"/>
              <w:start w:w="110" w:type="dxa"/>
              <w:bottom w:w="95" w:type="dxa"/>
              <w:end w:w="110" w:type="dxa"/>
            </w:tcMar>
          </w:tcPr>
          <w:p>
            <w:pPr>
              <w:spacing w:after="0" w:line="240" w:lineRule="auto"/>
            </w:pPr>
            <w:r>
              <w:rPr>
                <w:rFonts w:ascii="Aptos" w:hAnsi="Aptos"/>
                <w:color w:val="202A33"/>
                <w:sz w:val="16"/>
              </w:rPr>
              <w:t>Review overflow</w:t>
            </w:r>
          </w:p>
        </w:tc>
        <w:tc>
          <w:tcPr>
            <w:tcW w:type="dxa" w:w="7416"/>
            <w:vAlign w:val="center"/>
            <w:tcMar>
              <w:top w:w="95" w:type="dxa"/>
              <w:start w:w="110" w:type="dxa"/>
              <w:bottom w:w="95" w:type="dxa"/>
              <w:end w:w="110" w:type="dxa"/>
            </w:tcMar>
          </w:tcPr>
          <w:p>
            <w:pPr>
              <w:spacing w:after="0" w:line="240" w:lineRule="auto"/>
            </w:pPr>
            <w:r>
              <w:rPr>
                <w:rFonts w:ascii="Aptos" w:hAnsi="Aptos"/>
                <w:color w:val="202A33"/>
                <w:sz w:val="16"/>
              </w:rPr>
              <w:t>A review candidate rerouted to challenge because the daily queue limit was reached.</w:t>
            </w:r>
          </w:p>
        </w:tc>
      </w:tr>
      <w:tr>
        <w:trPr>
          <w:cantSplit/>
        </w:trPr>
        <w:tc>
          <w:tcPr>
            <w:tcW w:type="dxa" w:w="2520"/>
            <w:vAlign w:val="center"/>
            <w:tcMar>
              <w:top w:w="95" w:type="dxa"/>
              <w:start w:w="110" w:type="dxa"/>
              <w:bottom w:w="95" w:type="dxa"/>
              <w:end w:w="110" w:type="dxa"/>
            </w:tcMar>
            <w:shd w:fill="EAF1F6" w:val="clear"/>
          </w:tcPr>
          <w:p>
            <w:pPr>
              <w:spacing w:after="0" w:line="240" w:lineRule="auto"/>
            </w:pPr>
            <w:r>
              <w:rPr>
                <w:rFonts w:ascii="Aptos" w:hAnsi="Aptos"/>
                <w:color w:val="202A33"/>
                <w:sz w:val="16"/>
              </w:rPr>
              <w:t>Net economic cost</w:t>
            </w:r>
          </w:p>
        </w:tc>
        <w:tc>
          <w:tcPr>
            <w:tcW w:type="dxa" w:w="7416"/>
            <w:vAlign w:val="center"/>
            <w:tcMar>
              <w:top w:w="95" w:type="dxa"/>
              <w:start w:w="110" w:type="dxa"/>
              <w:bottom w:w="95" w:type="dxa"/>
              <w:end w:w="110" w:type="dxa"/>
            </w:tcMar>
            <w:shd w:fill="EAF1F6" w:val="clear"/>
          </w:tcPr>
          <w:p>
            <w:pPr>
              <w:spacing w:after="0" w:line="240" w:lineRule="auto"/>
            </w:pPr>
            <w:r>
              <w:rPr>
                <w:rFonts w:ascii="Aptos" w:hAnsi="Aptos"/>
                <w:color w:val="202A33"/>
                <w:sz w:val="16"/>
              </w:rPr>
              <w:t>The sum of modeled losses, unit costs, and margin effects; negative values imply modeled benefit.</w:t>
            </w:r>
          </w:p>
        </w:tc>
      </w:tr>
      <w:tr>
        <w:trPr>
          <w:cantSplit/>
        </w:trPr>
        <w:tc>
          <w:tcPr>
            <w:tcW w:type="dxa" w:w="2520"/>
            <w:vAlign w:val="center"/>
            <w:tcMar>
              <w:top w:w="95" w:type="dxa"/>
              <w:start w:w="110" w:type="dxa"/>
              <w:bottom w:w="95" w:type="dxa"/>
              <w:end w:w="110" w:type="dxa"/>
            </w:tcMar>
          </w:tcPr>
          <w:p>
            <w:pPr>
              <w:spacing w:after="0" w:line="240" w:lineRule="auto"/>
            </w:pPr>
            <w:r>
              <w:rPr>
                <w:rFonts w:ascii="Aptos" w:hAnsi="Aptos"/>
                <w:color w:val="202A33"/>
                <w:sz w:val="16"/>
              </w:rPr>
              <w:t>Synthetic</w:t>
            </w:r>
          </w:p>
        </w:tc>
        <w:tc>
          <w:tcPr>
            <w:tcW w:type="dxa" w:w="7416"/>
            <w:vAlign w:val="center"/>
            <w:tcMar>
              <w:top w:w="95" w:type="dxa"/>
              <w:start w:w="110" w:type="dxa"/>
              <w:bottom w:w="95" w:type="dxa"/>
              <w:end w:w="110" w:type="dxa"/>
            </w:tcMar>
          </w:tcPr>
          <w:p>
            <w:pPr>
              <w:spacing w:after="0" w:line="240" w:lineRule="auto"/>
            </w:pPr>
            <w:r>
              <w:rPr>
                <w:rFonts w:ascii="Aptos" w:hAnsi="Aptos"/>
                <w:color w:val="202A33"/>
                <w:sz w:val="16"/>
              </w:rPr>
              <w:t>Generated fictional data used for simulation, not observed customer or company records.</w:t>
            </w:r>
          </w:p>
        </w:tc>
      </w:tr>
    </w:tbl>
    <w:p>
      <w:pPr>
        <w:spacing w:after="40"/>
      </w:pPr>
    </w:p>
    <w:p>
      <w:pPr>
        <w:pStyle w:val="Heading2"/>
        <w:keepNext/>
        <w:spacing w:before="160" w:after="100"/>
      </w:pPr>
      <w:r>
        <w:rPr>
          <w:rFonts w:ascii="Aptos" w:hAnsi="Aptos"/>
          <w:b/>
          <w:color w:val="000000"/>
          <w:sz w:val="25"/>
        </w:rPr>
        <w:t>Project files to consult</w:t>
      </w:r>
    </w:p>
    <w:tbl>
      <w:tblPr>
        <w:tblW w:type="auto" w:w="0"/>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W w:w="9936" w:type="dxa"/>
      </w:tblPr>
      <w:tblGrid>
        <w:gridCol w:w="3744"/>
        <w:gridCol w:w="6192"/>
      </w:tblGrid>
      <w:tr>
        <w:trPr>
          <w:tblHeader w:val="true"/>
          <w:cantSplit/>
        </w:trPr>
        <w:tc>
          <w:tcPr>
            <w:tcW w:type="dxa" w:w="3744"/>
            <w:vAlign w:val="center"/>
            <w:shd w:fill="18364D" w:val="clear"/>
            <w:tcMar>
              <w:top w:w="95" w:type="dxa"/>
              <w:start w:w="110" w:type="dxa"/>
              <w:bottom w:w="95" w:type="dxa"/>
              <w:end w:w="110" w:type="dxa"/>
            </w:tcMar>
          </w:tcPr>
          <w:p>
            <w:pPr>
              <w:spacing w:after="0" w:line="240" w:lineRule="auto"/>
            </w:pPr>
            <w:r>
              <w:rPr>
                <w:rFonts w:ascii="Aptos" w:hAnsi="Aptos"/>
                <w:b/>
                <w:color w:val="FFFFFF"/>
                <w:sz w:val="16"/>
              </w:rPr>
              <w:t>Question</w:t>
            </w:r>
          </w:p>
        </w:tc>
        <w:tc>
          <w:tcPr>
            <w:tcW w:type="dxa" w:w="6192"/>
            <w:vAlign w:val="center"/>
            <w:shd w:fill="18364D" w:val="clear"/>
            <w:tcMar>
              <w:top w:w="95" w:type="dxa"/>
              <w:start w:w="110" w:type="dxa"/>
              <w:bottom w:w="95" w:type="dxa"/>
              <w:end w:w="110" w:type="dxa"/>
            </w:tcMar>
          </w:tcPr>
          <w:p>
            <w:pPr>
              <w:spacing w:after="0" w:line="240" w:lineRule="auto"/>
            </w:pPr>
            <w:r>
              <w:rPr>
                <w:rFonts w:ascii="Aptos" w:hAnsi="Aptos"/>
                <w:b/>
                <w:color w:val="FFFFFF"/>
                <w:sz w:val="16"/>
              </w:rPr>
              <w:t>Start here</w:t>
            </w:r>
          </w:p>
        </w:tc>
      </w:tr>
      <w:tr>
        <w:trPr>
          <w:cantSplit/>
        </w:trPr>
        <w:tc>
          <w:tcPr>
            <w:tcW w:type="dxa" w:w="3744"/>
            <w:vAlign w:val="center"/>
            <w:tcMar>
              <w:top w:w="95" w:type="dxa"/>
              <w:start w:w="110" w:type="dxa"/>
              <w:bottom w:w="95" w:type="dxa"/>
              <w:end w:w="110" w:type="dxa"/>
            </w:tcMar>
          </w:tcPr>
          <w:p>
            <w:pPr>
              <w:spacing w:after="0" w:line="240" w:lineRule="auto"/>
            </w:pPr>
            <w:r>
              <w:rPr>
                <w:rFonts w:ascii="Aptos" w:hAnsi="Aptos"/>
                <w:color w:val="202A33"/>
                <w:sz w:val="16"/>
              </w:rPr>
              <w:t>What settings produce the data?</w:t>
            </w:r>
          </w:p>
        </w:tc>
        <w:tc>
          <w:tcPr>
            <w:tcW w:type="dxa" w:w="6192"/>
            <w:vAlign w:val="center"/>
            <w:tcMar>
              <w:top w:w="95" w:type="dxa"/>
              <w:start w:w="110" w:type="dxa"/>
              <w:bottom w:w="95" w:type="dxa"/>
              <w:end w:w="110" w:type="dxa"/>
            </w:tcMar>
          </w:tcPr>
          <w:p>
            <w:pPr>
              <w:spacing w:after="0" w:line="240" w:lineRule="auto"/>
            </w:pPr>
            <w:r>
              <w:rPr>
                <w:rFonts w:ascii="Aptos" w:hAnsi="Aptos"/>
                <w:color w:val="202A33"/>
                <w:sz w:val="16"/>
              </w:rPr>
              <w:t>docs/simulation_assumptions.md and src/config.py.</w:t>
            </w:r>
          </w:p>
        </w:tc>
      </w:tr>
      <w:tr>
        <w:trPr>
          <w:cantSplit/>
        </w:trPr>
        <w:tc>
          <w:tcPr>
            <w:tcW w:type="dxa" w:w="3744"/>
            <w:vAlign w:val="center"/>
            <w:tcMar>
              <w:top w:w="95" w:type="dxa"/>
              <w:start w:w="110" w:type="dxa"/>
              <w:bottom w:w="95" w:type="dxa"/>
              <w:end w:w="110" w:type="dxa"/>
            </w:tcMar>
            <w:shd w:fill="EAF1F6" w:val="clear"/>
          </w:tcPr>
          <w:p>
            <w:pPr>
              <w:spacing w:after="0" w:line="240" w:lineRule="auto"/>
            </w:pPr>
            <w:r>
              <w:rPr>
                <w:rFonts w:ascii="Aptos" w:hAnsi="Aptos"/>
                <w:color w:val="202A33"/>
                <w:sz w:val="16"/>
              </w:rPr>
              <w:t>How is each fraud typology represented?</w:t>
            </w:r>
          </w:p>
        </w:tc>
        <w:tc>
          <w:tcPr>
            <w:tcW w:type="dxa" w:w="6192"/>
            <w:vAlign w:val="center"/>
            <w:tcMar>
              <w:top w:w="95" w:type="dxa"/>
              <w:start w:w="110" w:type="dxa"/>
              <w:bottom w:w="95" w:type="dxa"/>
              <w:end w:w="110" w:type="dxa"/>
            </w:tcMar>
            <w:shd w:fill="EAF1F6" w:val="clear"/>
          </w:tcPr>
          <w:p>
            <w:pPr>
              <w:spacing w:after="0" w:line="240" w:lineRule="auto"/>
            </w:pPr>
            <w:r>
              <w:rPr>
                <w:rFonts w:ascii="Aptos" w:hAnsi="Aptos"/>
                <w:color w:val="202A33"/>
                <w:sz w:val="16"/>
              </w:rPr>
              <w:t>docs/fraud_scenarios.md and src/simulation/inject_fraud.py.</w:t>
            </w:r>
          </w:p>
        </w:tc>
      </w:tr>
      <w:tr>
        <w:trPr>
          <w:cantSplit/>
        </w:trPr>
        <w:tc>
          <w:tcPr>
            <w:tcW w:type="dxa" w:w="3744"/>
            <w:vAlign w:val="center"/>
            <w:tcMar>
              <w:top w:w="95" w:type="dxa"/>
              <w:start w:w="110" w:type="dxa"/>
              <w:bottom w:w="95" w:type="dxa"/>
              <w:end w:w="110" w:type="dxa"/>
            </w:tcMar>
          </w:tcPr>
          <w:p>
            <w:pPr>
              <w:spacing w:after="0" w:line="240" w:lineRule="auto"/>
            </w:pPr>
            <w:r>
              <w:rPr>
                <w:rFonts w:ascii="Aptos" w:hAnsi="Aptos"/>
                <w:color w:val="202A33"/>
                <w:sz w:val="16"/>
              </w:rPr>
              <w:t>What does each field mean?</w:t>
            </w:r>
          </w:p>
        </w:tc>
        <w:tc>
          <w:tcPr>
            <w:tcW w:type="dxa" w:w="6192"/>
            <w:vAlign w:val="center"/>
            <w:tcMar>
              <w:top w:w="95" w:type="dxa"/>
              <w:start w:w="110" w:type="dxa"/>
              <w:bottom w:w="95" w:type="dxa"/>
              <w:end w:w="110" w:type="dxa"/>
            </w:tcMar>
          </w:tcPr>
          <w:p>
            <w:pPr>
              <w:spacing w:after="0" w:line="240" w:lineRule="auto"/>
            </w:pPr>
            <w:r>
              <w:rPr>
                <w:rFonts w:ascii="Aptos" w:hAnsi="Aptos"/>
                <w:color w:val="202A33"/>
                <w:sz w:val="16"/>
              </w:rPr>
              <w:t>docs/data_dictionary.md.</w:t>
            </w:r>
          </w:p>
        </w:tc>
      </w:tr>
      <w:tr>
        <w:trPr>
          <w:cantSplit/>
        </w:trPr>
        <w:tc>
          <w:tcPr>
            <w:tcW w:type="dxa" w:w="3744"/>
            <w:vAlign w:val="center"/>
            <w:tcMar>
              <w:top w:w="95" w:type="dxa"/>
              <w:start w:w="110" w:type="dxa"/>
              <w:bottom w:w="95" w:type="dxa"/>
              <w:end w:w="110" w:type="dxa"/>
            </w:tcMar>
            <w:shd w:fill="EAF1F6" w:val="clear"/>
          </w:tcPr>
          <w:p>
            <w:pPr>
              <w:spacing w:after="0" w:line="240" w:lineRule="auto"/>
            </w:pPr>
            <w:r>
              <w:rPr>
                <w:rFonts w:ascii="Aptos" w:hAnsi="Aptos"/>
                <w:color w:val="202A33"/>
                <w:sz w:val="16"/>
              </w:rPr>
              <w:t>How are actions and costs calculated?</w:t>
            </w:r>
          </w:p>
        </w:tc>
        <w:tc>
          <w:tcPr>
            <w:tcW w:type="dxa" w:w="6192"/>
            <w:vAlign w:val="center"/>
            <w:tcMar>
              <w:top w:w="95" w:type="dxa"/>
              <w:start w:w="110" w:type="dxa"/>
              <w:bottom w:w="95" w:type="dxa"/>
              <w:end w:w="110" w:type="dxa"/>
            </w:tcMar>
            <w:shd w:fill="EAF1F6" w:val="clear"/>
          </w:tcPr>
          <w:p>
            <w:pPr>
              <w:spacing w:after="0" w:line="240" w:lineRule="auto"/>
            </w:pPr>
            <w:r>
              <w:rPr>
                <w:rFonts w:ascii="Aptos" w:hAnsi="Aptos"/>
                <w:color w:val="202A33"/>
                <w:sz w:val="16"/>
              </w:rPr>
              <w:t>docs/decision_policy.md, src/decisions/policies.py, and src/evaluation/metrics.py.</w:t>
            </w:r>
          </w:p>
        </w:tc>
      </w:tr>
      <w:tr>
        <w:trPr>
          <w:cantSplit/>
        </w:trPr>
        <w:tc>
          <w:tcPr>
            <w:tcW w:type="dxa" w:w="3744"/>
            <w:vAlign w:val="center"/>
            <w:tcMar>
              <w:top w:w="95" w:type="dxa"/>
              <w:start w:w="110" w:type="dxa"/>
              <w:bottom w:w="95" w:type="dxa"/>
              <w:end w:w="110" w:type="dxa"/>
            </w:tcMar>
          </w:tcPr>
          <w:p>
            <w:pPr>
              <w:spacing w:after="0" w:line="240" w:lineRule="auto"/>
            </w:pPr>
            <w:r>
              <w:rPr>
                <w:rFonts w:ascii="Aptos" w:hAnsi="Aptos"/>
                <w:color w:val="202A33"/>
                <w:sz w:val="16"/>
              </w:rPr>
              <w:t>How does each module work?</w:t>
            </w:r>
          </w:p>
        </w:tc>
        <w:tc>
          <w:tcPr>
            <w:tcW w:type="dxa" w:w="6192"/>
            <w:vAlign w:val="center"/>
            <w:tcMar>
              <w:top w:w="95" w:type="dxa"/>
              <w:start w:w="110" w:type="dxa"/>
              <w:bottom w:w="95" w:type="dxa"/>
              <w:end w:w="110" w:type="dxa"/>
            </w:tcMar>
          </w:tcPr>
          <w:p>
            <w:pPr>
              <w:spacing w:after="0" w:line="240" w:lineRule="auto"/>
            </w:pPr>
            <w:r>
              <w:rPr>
                <w:rFonts w:ascii="Aptos" w:hAnsi="Aptos"/>
                <w:color w:val="202A33"/>
                <w:sz w:val="16"/>
              </w:rPr>
              <w:t>docs/implementation_walkthrough.md and the src/ modules.</w:t>
            </w:r>
          </w:p>
        </w:tc>
      </w:tr>
      <w:tr>
        <w:trPr>
          <w:cantSplit/>
        </w:trPr>
        <w:tc>
          <w:tcPr>
            <w:tcW w:type="dxa" w:w="3744"/>
            <w:vAlign w:val="center"/>
            <w:tcMar>
              <w:top w:w="95" w:type="dxa"/>
              <w:start w:w="110" w:type="dxa"/>
              <w:bottom w:w="95" w:type="dxa"/>
              <w:end w:w="110" w:type="dxa"/>
            </w:tcMar>
            <w:shd w:fill="EAF1F6" w:val="clear"/>
          </w:tcPr>
          <w:p>
            <w:pPr>
              <w:spacing w:after="0" w:line="240" w:lineRule="auto"/>
            </w:pPr>
            <w:r>
              <w:rPr>
                <w:rFonts w:ascii="Aptos" w:hAnsi="Aptos"/>
                <w:color w:val="202A33"/>
                <w:sz w:val="16"/>
              </w:rPr>
              <w:t>What is implemented or deferred?</w:t>
            </w:r>
          </w:p>
        </w:tc>
        <w:tc>
          <w:tcPr>
            <w:tcW w:type="dxa" w:w="6192"/>
            <w:vAlign w:val="center"/>
            <w:tcMar>
              <w:top w:w="95" w:type="dxa"/>
              <w:start w:w="110" w:type="dxa"/>
              <w:bottom w:w="95" w:type="dxa"/>
              <w:end w:w="110" w:type="dxa"/>
            </w:tcMar>
            <w:shd w:fill="EAF1F6" w:val="clear"/>
          </w:tcPr>
          <w:p>
            <w:pPr>
              <w:spacing w:after="0" w:line="240" w:lineRule="auto"/>
            </w:pPr>
            <w:r>
              <w:rPr>
                <w:rFonts w:ascii="Aptos" w:hAnsi="Aptos"/>
                <w:color w:val="202A33"/>
                <w:sz w:val="16"/>
              </w:rPr>
              <w:t>docs/roadmap.md.</w:t>
            </w:r>
          </w:p>
        </w:tc>
      </w:tr>
      <w:tr>
        <w:trPr>
          <w:cantSplit/>
        </w:trPr>
        <w:tc>
          <w:tcPr>
            <w:tcW w:type="dxa" w:w="3744"/>
            <w:vAlign w:val="center"/>
            <w:tcMar>
              <w:top w:w="95" w:type="dxa"/>
              <w:start w:w="110" w:type="dxa"/>
              <w:bottom w:w="95" w:type="dxa"/>
              <w:end w:w="110" w:type="dxa"/>
            </w:tcMar>
          </w:tcPr>
          <w:p>
            <w:pPr>
              <w:spacing w:after="0" w:line="240" w:lineRule="auto"/>
            </w:pPr>
            <w:r>
              <w:rPr>
                <w:rFonts w:ascii="Aptos" w:hAnsi="Aptos"/>
                <w:color w:val="202A33"/>
                <w:sz w:val="16"/>
              </w:rPr>
              <w:t>What did this run find?</w:t>
            </w:r>
          </w:p>
        </w:tc>
        <w:tc>
          <w:tcPr>
            <w:tcW w:type="dxa" w:w="6192"/>
            <w:vAlign w:val="center"/>
            <w:tcMar>
              <w:top w:w="95" w:type="dxa"/>
              <w:start w:w="110" w:type="dxa"/>
              <w:bottom w:w="95" w:type="dxa"/>
              <w:end w:w="110" w:type="dxa"/>
            </w:tcMar>
          </w:tcPr>
          <w:p>
            <w:pPr>
              <w:spacing w:after="0" w:line="240" w:lineRule="auto"/>
            </w:pPr>
            <w:r>
              <w:rPr>
                <w:rFonts w:ascii="Aptos" w:hAnsi="Aptos"/>
                <w:color w:val="202A33"/>
                <w:sz w:val="16"/>
              </w:rPr>
              <w:t>reports/case_study.md, reports/dashboard.html, and the CSV outputs.</w:t>
            </w:r>
          </w:p>
        </w:tc>
      </w:tr>
      <w:tr>
        <w:trPr>
          <w:cantSplit/>
        </w:trPr>
        <w:tc>
          <w:tcPr>
            <w:tcW w:type="dxa" w:w="3744"/>
            <w:vAlign w:val="center"/>
            <w:tcMar>
              <w:top w:w="95" w:type="dxa"/>
              <w:start w:w="110" w:type="dxa"/>
              <w:bottom w:w="95" w:type="dxa"/>
              <w:end w:w="110" w:type="dxa"/>
            </w:tcMar>
            <w:shd w:fill="EAF1F6" w:val="clear"/>
          </w:tcPr>
          <w:p>
            <w:pPr>
              <w:spacing w:after="0" w:line="240" w:lineRule="auto"/>
            </w:pPr>
            <w:r>
              <w:rPr>
                <w:rFonts w:ascii="Aptos" w:hAnsi="Aptos"/>
                <w:color w:val="202A33"/>
                <w:sz w:val="16"/>
              </w:rPr>
              <w:t>How do I investigate the database?</w:t>
            </w:r>
          </w:p>
        </w:tc>
        <w:tc>
          <w:tcPr>
            <w:tcW w:type="dxa" w:w="6192"/>
            <w:vAlign w:val="center"/>
            <w:tcMar>
              <w:top w:w="95" w:type="dxa"/>
              <w:start w:w="110" w:type="dxa"/>
              <w:bottom w:w="95" w:type="dxa"/>
              <w:end w:w="110" w:type="dxa"/>
            </w:tcMar>
            <w:shd w:fill="EAF1F6" w:val="clear"/>
          </w:tcPr>
          <w:p>
            <w:pPr>
              <w:spacing w:after="0" w:line="240" w:lineRule="auto"/>
            </w:pPr>
            <w:r>
              <w:rPr>
                <w:rFonts w:ascii="Aptos" w:hAnsi="Aptos"/>
                <w:color w:val="202A33"/>
                <w:sz w:val="16"/>
              </w:rPr>
              <w:t>sql/ and sql/run_investigation.py.</w:t>
            </w:r>
          </w:p>
        </w:tc>
      </w:tr>
    </w:tbl>
    <w:p>
      <w:pPr>
        <w:spacing w:after="40"/>
      </w:pPr>
    </w:p>
    <w:p>
      <w:pPr>
        <w:pStyle w:val="Heading1"/>
        <w:keepNext/>
        <w:spacing w:before="240" w:after="100"/>
      </w:pPr>
      <w:r>
        <w:rPr>
          <w:rFonts w:ascii="Aptos" w:hAnsi="Aptos"/>
          <w:b/>
          <w:color w:val="000000"/>
          <w:sz w:val="34"/>
        </w:rPr>
        <w:t>Appendix A  Worked Transaction Example</w:t>
      </w:r>
    </w:p>
    <w:p>
      <w:pPr>
        <w:keepLines w:val="0"/>
        <w:spacing w:after="120" w:before="0" w:line="259" w:lineRule="auto"/>
      </w:pPr>
      <w:r>
        <w:rPr>
          <w:rFonts w:ascii="Aptos" w:hAnsi="Aptos"/>
          <w:color w:val="202A33"/>
          <w:sz w:val="20"/>
        </w:rPr>
        <w:t>This example uses invented values to show how one record moves through the pipeline. It is not a row from the published run. Assume a customer's typical spend is $50 and the customer makes a $260 ecommerce purchase at 11:30 p.m. The event uses magstripe authentication, differs from the customer's home region, follows six earlier customer events in 24 hours, arrives at a terminal used by nine distinct customers, and is the customer's first event at that terminal.</w:t>
      </w:r>
    </w:p>
    <w:tbl>
      <w:tblPr>
        <w:tblW w:type="auto" w:w="0"/>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W w:w="9936" w:type="dxa"/>
      </w:tblPr>
      <w:tblGrid>
        <w:gridCol w:w="3096"/>
        <w:gridCol w:w="5688"/>
        <w:gridCol w:w="1152"/>
      </w:tblGrid>
      <w:tr>
        <w:trPr>
          <w:tblHeader w:val="true"/>
          <w:cantSplit/>
        </w:trPr>
        <w:tc>
          <w:tcPr>
            <w:tcW w:type="dxa" w:w="3096"/>
            <w:vAlign w:val="center"/>
            <w:shd w:fill="18364D" w:val="clear"/>
            <w:tcMar>
              <w:top w:w="95" w:type="dxa"/>
              <w:start w:w="110" w:type="dxa"/>
              <w:bottom w:w="95" w:type="dxa"/>
              <w:end w:w="110" w:type="dxa"/>
            </w:tcMar>
          </w:tcPr>
          <w:p>
            <w:pPr>
              <w:spacing w:after="0" w:line="240" w:lineRule="auto"/>
            </w:pPr>
            <w:r>
              <w:rPr>
                <w:rFonts w:ascii="Aptos" w:hAnsi="Aptos"/>
                <w:b/>
                <w:color w:val="FFFFFF"/>
                <w:sz w:val="16"/>
              </w:rPr>
              <w:t>Signal</w:t>
            </w:r>
          </w:p>
        </w:tc>
        <w:tc>
          <w:tcPr>
            <w:tcW w:type="dxa" w:w="5688"/>
            <w:vAlign w:val="center"/>
            <w:shd w:fill="18364D" w:val="clear"/>
            <w:tcMar>
              <w:top w:w="95" w:type="dxa"/>
              <w:start w:w="110" w:type="dxa"/>
              <w:bottom w:w="95" w:type="dxa"/>
              <w:end w:w="110" w:type="dxa"/>
            </w:tcMar>
          </w:tcPr>
          <w:p>
            <w:pPr>
              <w:spacing w:after="0" w:line="240" w:lineRule="auto"/>
            </w:pPr>
            <w:r>
              <w:rPr>
                <w:rFonts w:ascii="Aptos" w:hAnsi="Aptos"/>
                <w:b/>
                <w:color w:val="FFFFFF"/>
                <w:sz w:val="16"/>
              </w:rPr>
              <w:t>Calculation</w:t>
            </w:r>
          </w:p>
        </w:tc>
        <w:tc>
          <w:tcPr>
            <w:tcW w:type="dxa" w:w="1152"/>
            <w:vAlign w:val="center"/>
            <w:shd w:fill="18364D" w:val="clear"/>
            <w:tcMar>
              <w:top w:w="95" w:type="dxa"/>
              <w:start w:w="110" w:type="dxa"/>
              <w:bottom w:w="95" w:type="dxa"/>
              <w:end w:w="110" w:type="dxa"/>
            </w:tcMar>
          </w:tcPr>
          <w:p>
            <w:pPr>
              <w:spacing w:after="0" w:line="240" w:lineRule="auto"/>
            </w:pPr>
            <w:r>
              <w:rPr>
                <w:rFonts w:ascii="Aptos" w:hAnsi="Aptos"/>
                <w:b/>
                <w:color w:val="FFFFFF"/>
                <w:sz w:val="16"/>
              </w:rPr>
              <w:t>Points</w:t>
            </w:r>
          </w:p>
        </w:tc>
      </w:tr>
      <w:tr>
        <w:trPr>
          <w:cantSplit/>
        </w:trPr>
        <w:tc>
          <w:tcPr>
            <w:tcW w:type="dxa" w:w="3096"/>
            <w:vAlign w:val="center"/>
            <w:tcMar>
              <w:top w:w="95" w:type="dxa"/>
              <w:start w:w="110" w:type="dxa"/>
              <w:bottom w:w="95" w:type="dxa"/>
              <w:end w:w="110" w:type="dxa"/>
            </w:tcMar>
          </w:tcPr>
          <w:p>
            <w:pPr>
              <w:spacing w:after="0" w:line="240" w:lineRule="auto"/>
            </w:pPr>
            <w:r>
              <w:rPr>
                <w:rFonts w:ascii="Aptos" w:hAnsi="Aptos"/>
                <w:color w:val="202A33"/>
                <w:sz w:val="16"/>
              </w:rPr>
              <w:t>Amount to profile</w:t>
            </w:r>
          </w:p>
        </w:tc>
        <w:tc>
          <w:tcPr>
            <w:tcW w:type="dxa" w:w="5688"/>
            <w:vAlign w:val="center"/>
            <w:tcMar>
              <w:top w:w="95" w:type="dxa"/>
              <w:start w:w="110" w:type="dxa"/>
              <w:bottom w:w="95" w:type="dxa"/>
              <w:end w:w="110" w:type="dxa"/>
            </w:tcMar>
          </w:tcPr>
          <w:p>
            <w:pPr>
              <w:spacing w:after="0" w:line="240" w:lineRule="auto"/>
            </w:pPr>
            <w:r>
              <w:rPr>
                <w:rFonts w:ascii="Aptos" w:hAnsi="Aptos"/>
                <w:color w:val="202A33"/>
                <w:sz w:val="16"/>
              </w:rPr>
              <w:t>$260 ÷ $50 = 5.2; meets at least 3× threshold.</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6"/>
              </w:rPr>
              <w:t>30</w:t>
            </w:r>
          </w:p>
        </w:tc>
      </w:tr>
      <w:tr>
        <w:trPr>
          <w:cantSplit/>
        </w:trPr>
        <w:tc>
          <w:tcPr>
            <w:tcW w:type="dxa" w:w="3096"/>
            <w:vAlign w:val="center"/>
            <w:tcMar>
              <w:top w:w="95" w:type="dxa"/>
              <w:start w:w="110" w:type="dxa"/>
              <w:bottom w:w="95" w:type="dxa"/>
              <w:end w:w="110" w:type="dxa"/>
            </w:tcMar>
            <w:shd w:fill="EAF1F6" w:val="clear"/>
          </w:tcPr>
          <w:p>
            <w:pPr>
              <w:spacing w:after="0" w:line="240" w:lineRule="auto"/>
            </w:pPr>
            <w:r>
              <w:rPr>
                <w:rFonts w:ascii="Aptos" w:hAnsi="Aptos"/>
                <w:color w:val="202A33"/>
                <w:sz w:val="16"/>
              </w:rPr>
              <w:t>Customer velocity</w:t>
            </w:r>
          </w:p>
        </w:tc>
        <w:tc>
          <w:tcPr>
            <w:tcW w:type="dxa" w:w="5688"/>
            <w:vAlign w:val="center"/>
            <w:tcMar>
              <w:top w:w="95" w:type="dxa"/>
              <w:start w:w="110" w:type="dxa"/>
              <w:bottom w:w="95" w:type="dxa"/>
              <w:end w:w="110" w:type="dxa"/>
            </w:tcMar>
            <w:shd w:fill="EAF1F6" w:val="clear"/>
          </w:tcPr>
          <w:p>
            <w:pPr>
              <w:spacing w:after="0" w:line="240" w:lineRule="auto"/>
            </w:pPr>
            <w:r>
              <w:rPr>
                <w:rFonts w:ascii="Aptos" w:hAnsi="Aptos"/>
                <w:color w:val="202A33"/>
                <w:sz w:val="16"/>
              </w:rPr>
              <w:t>6 prior events; meets at least 5 threshold.</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6"/>
              </w:rPr>
              <w:t>25</w:t>
            </w:r>
          </w:p>
        </w:tc>
      </w:tr>
      <w:tr>
        <w:trPr>
          <w:cantSplit/>
        </w:trPr>
        <w:tc>
          <w:tcPr>
            <w:tcW w:type="dxa" w:w="3096"/>
            <w:vAlign w:val="center"/>
            <w:tcMar>
              <w:top w:w="95" w:type="dxa"/>
              <w:start w:w="110" w:type="dxa"/>
              <w:bottom w:w="95" w:type="dxa"/>
              <w:end w:w="110" w:type="dxa"/>
            </w:tcMar>
          </w:tcPr>
          <w:p>
            <w:pPr>
              <w:spacing w:after="0" w:line="240" w:lineRule="auto"/>
            </w:pPr>
            <w:r>
              <w:rPr>
                <w:rFonts w:ascii="Aptos" w:hAnsi="Aptos"/>
                <w:color w:val="202A33"/>
                <w:sz w:val="16"/>
              </w:rPr>
              <w:t>First customer-terminal pair</w:t>
            </w:r>
          </w:p>
        </w:tc>
        <w:tc>
          <w:tcPr>
            <w:tcW w:type="dxa" w:w="5688"/>
            <w:vAlign w:val="center"/>
            <w:tcMar>
              <w:top w:w="95" w:type="dxa"/>
              <w:start w:w="110" w:type="dxa"/>
              <w:bottom w:w="95" w:type="dxa"/>
              <w:end w:w="110" w:type="dxa"/>
            </w:tcMar>
          </w:tcPr>
          <w:p>
            <w:pPr>
              <w:spacing w:after="0" w:line="240" w:lineRule="auto"/>
            </w:pPr>
            <w:r>
              <w:rPr>
                <w:rFonts w:ascii="Aptos" w:hAnsi="Aptos"/>
                <w:color w:val="202A33"/>
                <w:sz w:val="16"/>
              </w:rPr>
              <w:t>Prior pair count is zero.</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6"/>
              </w:rPr>
              <w:t>15</w:t>
            </w:r>
          </w:p>
        </w:tc>
      </w:tr>
      <w:tr>
        <w:trPr>
          <w:cantSplit/>
        </w:trPr>
        <w:tc>
          <w:tcPr>
            <w:tcW w:type="dxa" w:w="3096"/>
            <w:vAlign w:val="center"/>
            <w:tcMar>
              <w:top w:w="95" w:type="dxa"/>
              <w:start w:w="110" w:type="dxa"/>
              <w:bottom w:w="95" w:type="dxa"/>
              <w:end w:w="110" w:type="dxa"/>
            </w:tcMar>
            <w:shd w:fill="EAF1F6" w:val="clear"/>
          </w:tcPr>
          <w:p>
            <w:pPr>
              <w:spacing w:after="0" w:line="240" w:lineRule="auto"/>
            </w:pPr>
            <w:r>
              <w:rPr>
                <w:rFonts w:ascii="Aptos" w:hAnsi="Aptos"/>
                <w:color w:val="202A33"/>
                <w:sz w:val="16"/>
              </w:rPr>
              <w:t>Shared terminal</w:t>
            </w:r>
          </w:p>
        </w:tc>
        <w:tc>
          <w:tcPr>
            <w:tcW w:type="dxa" w:w="5688"/>
            <w:vAlign w:val="center"/>
            <w:tcMar>
              <w:top w:w="95" w:type="dxa"/>
              <w:start w:w="110" w:type="dxa"/>
              <w:bottom w:w="95" w:type="dxa"/>
              <w:end w:w="110" w:type="dxa"/>
            </w:tcMar>
            <w:shd w:fill="EAF1F6" w:val="clear"/>
          </w:tcPr>
          <w:p>
            <w:pPr>
              <w:spacing w:after="0" w:line="240" w:lineRule="auto"/>
            </w:pPr>
            <w:r>
              <w:rPr>
                <w:rFonts w:ascii="Aptos" w:hAnsi="Aptos"/>
                <w:color w:val="202A33"/>
                <w:sz w:val="16"/>
              </w:rPr>
              <w:t>9 prior distinct customers; meets at least 8 threshold.</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6"/>
              </w:rPr>
              <w:t>18</w:t>
            </w:r>
          </w:p>
        </w:tc>
      </w:tr>
      <w:tr>
        <w:trPr>
          <w:cantSplit/>
        </w:trPr>
        <w:tc>
          <w:tcPr>
            <w:tcW w:type="dxa" w:w="3096"/>
            <w:vAlign w:val="center"/>
            <w:tcMar>
              <w:top w:w="95" w:type="dxa"/>
              <w:start w:w="110" w:type="dxa"/>
              <w:bottom w:w="95" w:type="dxa"/>
              <w:end w:w="110" w:type="dxa"/>
            </w:tcMar>
          </w:tcPr>
          <w:p>
            <w:pPr>
              <w:spacing w:after="0" w:line="240" w:lineRule="auto"/>
            </w:pPr>
            <w:r>
              <w:rPr>
                <w:rFonts w:ascii="Aptos" w:hAnsi="Aptos"/>
                <w:color w:val="202A33"/>
                <w:sz w:val="16"/>
              </w:rPr>
              <w:t>Ecommerce/auth/night combination</w:t>
            </w:r>
          </w:p>
        </w:tc>
        <w:tc>
          <w:tcPr>
            <w:tcW w:type="dxa" w:w="5688"/>
            <w:vAlign w:val="center"/>
            <w:tcMar>
              <w:top w:w="95" w:type="dxa"/>
              <w:start w:w="110" w:type="dxa"/>
              <w:bottom w:w="95" w:type="dxa"/>
              <w:end w:w="110" w:type="dxa"/>
            </w:tcMar>
          </w:tcPr>
          <w:p>
            <w:pPr>
              <w:spacing w:after="0" w:line="240" w:lineRule="auto"/>
            </w:pPr>
            <w:r>
              <w:rPr>
                <w:rFonts w:ascii="Aptos" w:hAnsi="Aptos"/>
                <w:color w:val="202A33"/>
                <w:sz w:val="16"/>
              </w:rPr>
              <w:t>Ecommerce + magstripe + night are all true.</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6"/>
              </w:rPr>
              <w:t>20</w:t>
            </w:r>
          </w:p>
        </w:tc>
      </w:tr>
      <w:tr>
        <w:trPr>
          <w:cantSplit/>
        </w:trPr>
        <w:tc>
          <w:tcPr>
            <w:tcW w:type="dxa" w:w="3096"/>
            <w:vAlign w:val="center"/>
            <w:tcMar>
              <w:top w:w="95" w:type="dxa"/>
              <w:start w:w="110" w:type="dxa"/>
              <w:bottom w:w="95" w:type="dxa"/>
              <w:end w:w="110" w:type="dxa"/>
            </w:tcMar>
            <w:shd w:fill="EAF1F6" w:val="clear"/>
          </w:tcPr>
          <w:p>
            <w:pPr>
              <w:spacing w:after="0" w:line="240" w:lineRule="auto"/>
            </w:pPr>
            <w:r>
              <w:rPr>
                <w:rFonts w:ascii="Aptos" w:hAnsi="Aptos"/>
                <w:color w:val="202A33"/>
                <w:sz w:val="16"/>
              </w:rPr>
              <w:t>Night activity</w:t>
            </w:r>
          </w:p>
        </w:tc>
        <w:tc>
          <w:tcPr>
            <w:tcW w:type="dxa" w:w="5688"/>
            <w:vAlign w:val="center"/>
            <w:tcMar>
              <w:top w:w="95" w:type="dxa"/>
              <w:start w:w="110" w:type="dxa"/>
              <w:bottom w:w="95" w:type="dxa"/>
              <w:end w:w="110" w:type="dxa"/>
            </w:tcMar>
            <w:shd w:fill="EAF1F6" w:val="clear"/>
          </w:tcPr>
          <w:p>
            <w:pPr>
              <w:spacing w:after="0" w:line="240" w:lineRule="auto"/>
            </w:pPr>
            <w:r>
              <w:rPr>
                <w:rFonts w:ascii="Aptos" w:hAnsi="Aptos"/>
                <w:color w:val="202A33"/>
                <w:sz w:val="16"/>
              </w:rPr>
              <w:t>23:30 is within the configured night hours.</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6"/>
              </w:rPr>
              <w:t>8</w:t>
            </w:r>
          </w:p>
        </w:tc>
      </w:tr>
      <w:tr>
        <w:trPr>
          <w:cantSplit/>
        </w:trPr>
        <w:tc>
          <w:tcPr>
            <w:tcW w:type="dxa" w:w="3096"/>
            <w:vAlign w:val="center"/>
            <w:tcMar>
              <w:top w:w="95" w:type="dxa"/>
              <w:start w:w="110" w:type="dxa"/>
              <w:bottom w:w="95" w:type="dxa"/>
              <w:end w:w="110" w:type="dxa"/>
            </w:tcMar>
          </w:tcPr>
          <w:p>
            <w:pPr>
              <w:spacing w:after="0" w:line="240" w:lineRule="auto"/>
            </w:pPr>
            <w:r>
              <w:rPr>
                <w:rFonts w:ascii="Aptos" w:hAnsi="Aptos"/>
                <w:color w:val="202A33"/>
                <w:sz w:val="16"/>
              </w:rPr>
              <w:t>Region mismatch</w:t>
            </w:r>
          </w:p>
        </w:tc>
        <w:tc>
          <w:tcPr>
            <w:tcW w:type="dxa" w:w="5688"/>
            <w:vAlign w:val="center"/>
            <w:tcMar>
              <w:top w:w="95" w:type="dxa"/>
              <w:start w:w="110" w:type="dxa"/>
              <w:bottom w:w="95" w:type="dxa"/>
              <w:end w:w="110" w:type="dxa"/>
            </w:tcMar>
          </w:tcPr>
          <w:p>
            <w:pPr>
              <w:spacing w:after="0" w:line="240" w:lineRule="auto"/>
            </w:pPr>
            <w:r>
              <w:rPr>
                <w:rFonts w:ascii="Aptos" w:hAnsi="Aptos"/>
                <w:color w:val="202A33"/>
                <w:sz w:val="16"/>
              </w:rPr>
              <w:t>Merchant region differs from home region.</w:t>
            </w:r>
          </w:p>
        </w:tc>
        <w:tc>
          <w:tcPr>
            <w:tcW w:type="dxa" w:w="1152"/>
            <w:vAlign w:val="center"/>
            <w:tcMar>
              <w:top w:w="95" w:type="dxa"/>
              <w:start w:w="110" w:type="dxa"/>
              <w:bottom w:w="95" w:type="dxa"/>
              <w:end w:w="110" w:type="dxa"/>
            </w:tcMar>
          </w:tcPr>
          <w:p>
            <w:pPr>
              <w:spacing w:after="0" w:line="240" w:lineRule="auto"/>
            </w:pPr>
            <w:r>
              <w:rPr>
                <w:rFonts w:ascii="Aptos" w:hAnsi="Aptos"/>
                <w:color w:val="202A33"/>
                <w:sz w:val="16"/>
              </w:rPr>
              <w:t>12</w:t>
            </w:r>
          </w:p>
        </w:tc>
      </w:tr>
      <w:tr>
        <w:trPr>
          <w:cantSplit/>
        </w:trPr>
        <w:tc>
          <w:tcPr>
            <w:tcW w:type="dxa" w:w="3096"/>
            <w:vAlign w:val="center"/>
            <w:tcMar>
              <w:top w:w="95" w:type="dxa"/>
              <w:start w:w="110" w:type="dxa"/>
              <w:bottom w:w="95" w:type="dxa"/>
              <w:end w:w="110" w:type="dxa"/>
            </w:tcMar>
            <w:shd w:fill="EAF1F6" w:val="clear"/>
          </w:tcPr>
          <w:p>
            <w:pPr>
              <w:spacing w:after="0" w:line="240" w:lineRule="auto"/>
            </w:pPr>
            <w:r>
              <w:rPr>
                <w:rFonts w:ascii="Aptos" w:hAnsi="Aptos"/>
                <w:color w:val="202A33"/>
                <w:sz w:val="16"/>
              </w:rPr>
              <w:t>Total</w:t>
            </w:r>
          </w:p>
        </w:tc>
        <w:tc>
          <w:tcPr>
            <w:tcW w:type="dxa" w:w="5688"/>
            <w:vAlign w:val="center"/>
            <w:tcMar>
              <w:top w:w="95" w:type="dxa"/>
              <w:start w:w="110" w:type="dxa"/>
              <w:bottom w:w="95" w:type="dxa"/>
              <w:end w:w="110" w:type="dxa"/>
            </w:tcMar>
            <w:shd w:fill="EAF1F6" w:val="clear"/>
          </w:tcPr>
          <w:p>
            <w:pPr>
              <w:spacing w:after="0" w:line="240" w:lineRule="auto"/>
            </w:pPr>
            <w:r>
              <w:rPr>
                <w:rFonts w:ascii="Aptos" w:hAnsi="Aptos"/>
                <w:color w:val="202A33"/>
                <w:sz w:val="16"/>
              </w:rPr>
              <w:t>128 raw points, capped at 100.</w:t>
            </w:r>
          </w:p>
        </w:tc>
        <w:tc>
          <w:tcPr>
            <w:tcW w:type="dxa" w:w="1152"/>
            <w:vAlign w:val="center"/>
            <w:tcMar>
              <w:top w:w="95" w:type="dxa"/>
              <w:start w:w="110" w:type="dxa"/>
              <w:bottom w:w="95" w:type="dxa"/>
              <w:end w:w="110" w:type="dxa"/>
            </w:tcMar>
            <w:shd w:fill="EAF1F6" w:val="clear"/>
          </w:tcPr>
          <w:p>
            <w:pPr>
              <w:spacing w:after="0" w:line="240" w:lineRule="auto"/>
            </w:pPr>
            <w:r>
              <w:rPr>
                <w:rFonts w:ascii="Aptos" w:hAnsi="Aptos"/>
                <w:color w:val="202A33"/>
                <w:sz w:val="16"/>
              </w:rPr>
              <w:t>100</w:t>
            </w:r>
          </w:p>
        </w:tc>
      </w:tr>
    </w:tbl>
    <w:p>
      <w:pPr>
        <w:spacing w:after="40"/>
      </w:pPr>
    </w:p>
    <w:p>
      <w:pPr>
        <w:keepLines w:val="0"/>
        <w:spacing w:after="120" w:before="0" w:line="259" w:lineRule="auto"/>
      </w:pPr>
      <w:r>
        <w:rPr>
          <w:rFonts w:ascii="Aptos" w:hAnsi="Aptos"/>
          <w:color w:val="202A33"/>
          <w:sz w:val="20"/>
        </w:rPr>
        <w:t>With the candidate threshold set (0.30, 0.60, 0.90), the 1.00 rule risk would meet the decline threshold. If the event is fraud, modeled decline cost is zero because it prevents the fraud amount and chargeback in this simplified scenario. If it is legitimate, the false-decline cost is 5% × $500 plus the lost 1.1% margin on $260, or $27.86. This example shows why high scores can protect against fraud but still need review of false declines and customer impact.</w:t>
      </w:r>
    </w:p>
    <w:p>
      <w:pPr>
        <w:keepLines w:val="0"/>
        <w:spacing w:after="120" w:before="0" w:line="259" w:lineRule="auto"/>
      </w:pPr>
      <w:r>
        <w:rPr>
          <w:rFonts w:ascii="Aptos" w:hAnsi="Aptos"/>
          <w:color w:val="202A33"/>
          <w:sz w:val="20"/>
        </w:rPr>
        <w:t>The run does not decide from this example alone. It selects among four threshold sets using a separate campaign-stratified validation sample from earlier dates, then applies the selected set to the untouched later holdout. The actual cost depends on the label used only after scoring, the chosen action, the configured assumptions, and the daily review queue.</w:t>
      </w:r>
    </w:p>
    <w:p>
      <w:pPr>
        <w:pStyle w:val="Heading1"/>
        <w:keepNext/>
        <w:spacing w:before="240" w:after="100"/>
      </w:pPr>
      <w:r>
        <w:rPr>
          <w:rFonts w:ascii="Aptos" w:hAnsi="Aptos"/>
          <w:b/>
          <w:color w:val="000000"/>
          <w:sz w:val="34"/>
        </w:rPr>
        <w:t>Appendix B  SQL Examples and Interpretation</w:t>
      </w:r>
    </w:p>
    <w:p>
      <w:pPr>
        <w:keepLines w:val="0"/>
        <w:spacing w:after="120" w:before="0" w:line="259" w:lineRule="auto"/>
      </w:pPr>
      <w:r>
        <w:rPr>
          <w:rFonts w:ascii="Aptos" w:hAnsi="Aptos"/>
          <w:color w:val="202A33"/>
          <w:sz w:val="20"/>
        </w:rPr>
        <w:t>The SQL runner executes all six query files against SQLite. The examples below illustrate how an analyst can move from overall volume to a more specific lead. Neither query reads ground-truth labels.</w:t>
      </w:r>
    </w:p>
    <w:p>
      <w:pPr>
        <w:pStyle w:val="Heading2"/>
        <w:keepNext/>
        <w:spacing w:before="160" w:after="100"/>
      </w:pPr>
      <w:r>
        <w:rPr>
          <w:rFonts w:ascii="Aptos" w:hAnsi="Aptos"/>
          <w:b/>
          <w:color w:val="000000"/>
          <w:sz w:val="25"/>
        </w:rPr>
        <w:t>Daily event landscape</w:t>
      </w:r>
    </w:p>
    <w:p>
      <w:pPr>
        <w:spacing w:after="0" w:line="240" w:lineRule="auto"/>
        <w:ind w:left="259"/>
        <w:shd w:fill="F4F6F8"/>
      </w:pPr>
      <w:r>
        <w:rPr>
          <w:rFonts w:ascii="Consolas" w:hAnsi="Consolas"/>
          <w:color w:val="293844"/>
          <w:sz w:val="16"/>
        </w:rPr>
        <w:t>SELECT date(Timestamp) AS transaction_date,</w:t>
      </w:r>
    </w:p>
    <w:p>
      <w:pPr>
        <w:spacing w:after="0" w:line="240" w:lineRule="auto"/>
        <w:ind w:left="259"/>
        <w:shd w:fill="F4F6F8"/>
      </w:pPr>
      <w:r>
        <w:rPr>
          <w:rFonts w:ascii="Consolas" w:hAnsi="Consolas"/>
          <w:color w:val="293844"/>
          <w:sz w:val="16"/>
        </w:rPr>
        <w:t xml:space="preserve">       COUNT(*) AS transaction_count,</w:t>
      </w:r>
    </w:p>
    <w:p>
      <w:pPr>
        <w:spacing w:after="0" w:line="240" w:lineRule="auto"/>
        <w:ind w:left="259"/>
        <w:shd w:fill="F4F6F8"/>
      </w:pPr>
      <w:r>
        <w:rPr>
          <w:rFonts w:ascii="Consolas" w:hAnsi="Consolas"/>
          <w:color w:val="293844"/>
          <w:sz w:val="16"/>
        </w:rPr>
        <w:t xml:space="preserve">       ROUND(SUM(Amount), 2) AS transaction_value</w:t>
      </w:r>
    </w:p>
    <w:p>
      <w:pPr>
        <w:spacing w:after="0" w:line="240" w:lineRule="auto"/>
        <w:ind w:left="259"/>
        <w:shd w:fill="F4F6F8"/>
      </w:pPr>
      <w:r>
        <w:rPr>
          <w:rFonts w:ascii="Consolas" w:hAnsi="Consolas"/>
          <w:color w:val="293844"/>
          <w:sz w:val="16"/>
        </w:rPr>
        <w:t>FROM transactions</w:t>
      </w:r>
    </w:p>
    <w:p>
      <w:pPr>
        <w:spacing w:after="0" w:line="240" w:lineRule="auto"/>
        <w:ind w:left="259"/>
        <w:shd w:fill="F4F6F8"/>
      </w:pPr>
      <w:r>
        <w:rPr>
          <w:rFonts w:ascii="Consolas" w:hAnsi="Consolas"/>
          <w:color w:val="293844"/>
          <w:sz w:val="16"/>
        </w:rPr>
        <w:t>GROUP BY date(Timestamp)</w:t>
      </w:r>
    </w:p>
    <w:p>
      <w:pPr>
        <w:spacing w:after="0" w:line="240" w:lineRule="auto"/>
        <w:ind w:left="259"/>
        <w:shd w:fill="F4F6F8"/>
      </w:pPr>
      <w:r>
        <w:rPr>
          <w:rFonts w:ascii="Consolas" w:hAnsi="Consolas"/>
          <w:color w:val="293844"/>
          <w:sz w:val="16"/>
        </w:rPr>
        <w:t>ORDER BY transaction_date;</w:t>
      </w:r>
    </w:p>
    <w:p>
      <w:pPr>
        <w:keepLines w:val="0"/>
        <w:spacing w:after="120" w:before="0" w:line="259" w:lineRule="auto"/>
      </w:pPr>
      <w:r>
        <w:rPr>
          <w:rFonts w:ascii="Aptos" w:hAnsi="Aptos"/>
          <w:color w:val="202A33"/>
          <w:sz w:val="20"/>
        </w:rPr>
        <w:t>This query establishes the ordinary daily scale and flags dates worth inspecting. A rise may come from the designed crisis period, random variation, or the synthetic injection. It does not identify why volume changed.</w:t>
      </w:r>
    </w:p>
    <w:p>
      <w:pPr>
        <w:pStyle w:val="Heading2"/>
        <w:keepNext/>
        <w:spacing w:before="160" w:after="100"/>
      </w:pPr>
      <w:r>
        <w:rPr>
          <w:rFonts w:ascii="Aptos" w:hAnsi="Aptos"/>
          <w:b/>
          <w:color w:val="000000"/>
          <w:sz w:val="25"/>
        </w:rPr>
        <w:t>Endpoint concentration</w:t>
      </w:r>
    </w:p>
    <w:p>
      <w:pPr>
        <w:spacing w:after="0" w:line="240" w:lineRule="auto"/>
        <w:ind w:left="259"/>
        <w:shd w:fill="F4F6F8"/>
      </w:pPr>
      <w:r>
        <w:rPr>
          <w:rFonts w:ascii="Consolas" w:hAnsi="Consolas"/>
          <w:color w:val="293844"/>
          <w:sz w:val="16"/>
        </w:rPr>
        <w:t>SELECT Terminal_ID,</w:t>
      </w:r>
    </w:p>
    <w:p>
      <w:pPr>
        <w:spacing w:after="0" w:line="240" w:lineRule="auto"/>
        <w:ind w:left="259"/>
        <w:shd w:fill="F4F6F8"/>
      </w:pPr>
      <w:r>
        <w:rPr>
          <w:rFonts w:ascii="Consolas" w:hAnsi="Consolas"/>
          <w:color w:val="293844"/>
          <w:sz w:val="16"/>
        </w:rPr>
        <w:t xml:space="preserve">       COUNT(*) AS transaction_count,</w:t>
      </w:r>
    </w:p>
    <w:p>
      <w:pPr>
        <w:spacing w:after="0" w:line="240" w:lineRule="auto"/>
        <w:ind w:left="259"/>
        <w:shd w:fill="F4F6F8"/>
      </w:pPr>
      <w:r>
        <w:rPr>
          <w:rFonts w:ascii="Consolas" w:hAnsi="Consolas"/>
          <w:color w:val="293844"/>
          <w:sz w:val="16"/>
        </w:rPr>
        <w:t xml:space="preserve">       COUNT(DISTINCT Customer_ID) AS distinct_customers</w:t>
      </w:r>
    </w:p>
    <w:p>
      <w:pPr>
        <w:spacing w:after="0" w:line="240" w:lineRule="auto"/>
        <w:ind w:left="259"/>
        <w:shd w:fill="F4F6F8"/>
      </w:pPr>
      <w:r>
        <w:rPr>
          <w:rFonts w:ascii="Consolas" w:hAnsi="Consolas"/>
          <w:color w:val="293844"/>
          <w:sz w:val="16"/>
        </w:rPr>
        <w:t>FROM transactions</w:t>
      </w:r>
    </w:p>
    <w:p>
      <w:pPr>
        <w:spacing w:after="0" w:line="240" w:lineRule="auto"/>
        <w:ind w:left="259"/>
        <w:shd w:fill="F4F6F8"/>
      </w:pPr>
      <w:r>
        <w:rPr>
          <w:rFonts w:ascii="Consolas" w:hAnsi="Consolas"/>
          <w:color w:val="293844"/>
          <w:sz w:val="16"/>
        </w:rPr>
        <w:t>GROUP BY Terminal_ID</w:t>
      </w:r>
    </w:p>
    <w:p>
      <w:pPr>
        <w:spacing w:after="0" w:line="240" w:lineRule="auto"/>
        <w:ind w:left="259"/>
        <w:shd w:fill="F4F6F8"/>
      </w:pPr>
      <w:r>
        <w:rPr>
          <w:rFonts w:ascii="Consolas" w:hAnsi="Consolas"/>
          <w:color w:val="293844"/>
          <w:sz w:val="16"/>
        </w:rPr>
        <w:t>ORDER BY transaction_count DESC</w:t>
      </w:r>
    </w:p>
    <w:p>
      <w:pPr>
        <w:spacing w:after="0" w:line="240" w:lineRule="auto"/>
        <w:ind w:left="259"/>
        <w:shd w:fill="F4F6F8"/>
      </w:pPr>
      <w:r>
        <w:rPr>
          <w:rFonts w:ascii="Consolas" w:hAnsi="Consolas"/>
          <w:color w:val="293844"/>
          <w:sz w:val="16"/>
        </w:rPr>
        <w:t>LIMIT 20;</w:t>
      </w:r>
    </w:p>
    <w:p>
      <w:pPr>
        <w:keepLines w:val="0"/>
        <w:spacing w:after="120" w:before="0" w:line="259" w:lineRule="auto"/>
      </w:pPr>
      <w:r>
        <w:rPr>
          <w:rFonts w:ascii="Aptos" w:hAnsi="Aptos"/>
          <w:color w:val="202A33"/>
          <w:sz w:val="20"/>
        </w:rPr>
        <w:t>This ranks terminals by activity. A high transaction count may be normal for a popular endpoint. The distinct-customer count adds a second view of concentration; both should be compared with context and time before someone calls the endpoint suspicious.</w:t>
      </w:r>
    </w:p>
    <w:p>
      <w:pPr>
        <w:pStyle w:val="Heading2"/>
        <w:keepNext/>
        <w:spacing w:before="160" w:after="100"/>
      </w:pPr>
      <w:r>
        <w:rPr>
          <w:rFonts w:ascii="Aptos" w:hAnsi="Aptos"/>
          <w:b/>
          <w:color w:val="000000"/>
          <w:sz w:val="25"/>
        </w:rPr>
        <w:t>Rapid low-value events</w:t>
      </w:r>
    </w:p>
    <w:p>
      <w:pPr>
        <w:spacing w:after="0" w:line="240" w:lineRule="auto"/>
        <w:ind w:left="259"/>
        <w:shd w:fill="F4F6F8"/>
      </w:pPr>
      <w:r>
        <w:rPr>
          <w:rFonts w:ascii="Consolas" w:hAnsi="Consolas"/>
          <w:color w:val="293844"/>
          <w:sz w:val="16"/>
        </w:rPr>
        <w:t>SELECT Transaction_ID, Timestamp, Customer_ID, Terminal_ID, Amount,</w:t>
      </w:r>
    </w:p>
    <w:p>
      <w:pPr>
        <w:spacing w:after="0" w:line="240" w:lineRule="auto"/>
        <w:ind w:left="259"/>
        <w:shd w:fill="F4F6F8"/>
      </w:pPr>
      <w:r>
        <w:rPr>
          <w:rFonts w:ascii="Consolas" w:hAnsi="Consolas"/>
          <w:color w:val="293844"/>
          <w:sz w:val="16"/>
        </w:rPr>
        <w:t xml:space="preserve">       Tx_Count_Prior_24h, Customer_Terminal_Prior_Count</w:t>
      </w:r>
    </w:p>
    <w:p>
      <w:pPr>
        <w:spacing w:after="0" w:line="240" w:lineRule="auto"/>
        <w:ind w:left="259"/>
        <w:shd w:fill="F4F6F8"/>
      </w:pPr>
      <w:r>
        <w:rPr>
          <w:rFonts w:ascii="Consolas" w:hAnsi="Consolas"/>
          <w:color w:val="293844"/>
          <w:sz w:val="16"/>
        </w:rPr>
        <w:t>FROM behavior_features</w:t>
      </w:r>
    </w:p>
    <w:p>
      <w:pPr>
        <w:spacing w:after="0" w:line="240" w:lineRule="auto"/>
        <w:ind w:left="259"/>
        <w:shd w:fill="F4F6F8"/>
      </w:pPr>
      <w:r>
        <w:rPr>
          <w:rFonts w:ascii="Consolas" w:hAnsi="Consolas"/>
          <w:color w:val="293844"/>
          <w:sz w:val="16"/>
        </w:rPr>
        <w:t>WHERE Amount &lt;= 5 AND Tx_Count_Prior_24h &gt;= 2</w:t>
      </w:r>
    </w:p>
    <w:p>
      <w:pPr>
        <w:spacing w:after="0" w:line="240" w:lineRule="auto"/>
        <w:ind w:left="259"/>
        <w:shd w:fill="F4F6F8"/>
      </w:pPr>
      <w:r>
        <w:rPr>
          <w:rFonts w:ascii="Consolas" w:hAnsi="Consolas"/>
          <w:color w:val="293844"/>
          <w:sz w:val="16"/>
        </w:rPr>
        <w:t>ORDER BY Tx_Count_Prior_24h DESC, Timestamp;</w:t>
      </w:r>
    </w:p>
    <w:p>
      <w:pPr>
        <w:keepLines w:val="0"/>
        <w:spacing w:after="120" w:before="0" w:line="259" w:lineRule="auto"/>
      </w:pPr>
      <w:r>
        <w:rPr>
          <w:rFonts w:ascii="Aptos" w:hAnsi="Aptos"/>
          <w:color w:val="202A33"/>
          <w:sz w:val="20"/>
        </w:rPr>
        <w:t>This query combines low amount and velocity, which is a useful hypothesis for card testing in this simulator. The result is a review list, not a fraud confirmation. An analyst could next check whether the endpoint is shared, when the events happened, and whether authentication context changed.</w:t>
      </w:r>
    </w:p>
    <w:p>
      <w:pPr>
        <w:keepLines w:val="0"/>
        <w:spacing w:after="120" w:before="0" w:line="259" w:lineRule="auto"/>
      </w:pPr>
      <w:r>
        <w:rPr>
          <w:rFonts w:ascii="Aptos" w:hAnsi="Aptos"/>
          <w:color w:val="202A33"/>
          <w:sz w:val="20"/>
        </w:rPr>
        <w:t>04_amount_deviation.sql compares each amount with the customer profile. 05_authentication_and_channel.sql summarizes channel and authentication combinations. 06_network_connections.sql ranks the full-run endpoint summary. The queries are intentionally small enough to read and modify.</w:t>
      </w:r>
    </w:p>
    <w:p>
      <w:pPr>
        <w:pStyle w:val="Heading1"/>
        <w:keepNext/>
        <w:spacing w:before="240" w:after="100"/>
      </w:pPr>
      <w:r>
        <w:rPr>
          <w:rFonts w:ascii="Aptos" w:hAnsi="Aptos"/>
          <w:b/>
          <w:color w:val="000000"/>
          <w:sz w:val="34"/>
        </w:rPr>
        <w:t>Appendix C  Complete Module Reference</w:t>
      </w:r>
    </w:p>
    <w:tbl>
      <w:tblPr>
        <w:tblW w:type="auto" w:w="0"/>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W w:w="9936" w:type="dxa"/>
      </w:tblPr>
      <w:tblGrid>
        <w:gridCol w:w="3384"/>
        <w:gridCol w:w="4104"/>
        <w:gridCol w:w="2448"/>
      </w:tblGrid>
      <w:tr>
        <w:trPr>
          <w:tblHeader w:val="true"/>
          <w:cantSplit/>
        </w:trPr>
        <w:tc>
          <w:tcPr>
            <w:tcW w:type="dxa" w:w="3384"/>
            <w:vAlign w:val="center"/>
            <w:shd w:fill="18364D" w:val="clear"/>
            <w:tcMar>
              <w:top w:w="95" w:type="dxa"/>
              <w:start w:w="110" w:type="dxa"/>
              <w:bottom w:w="95" w:type="dxa"/>
              <w:end w:w="110" w:type="dxa"/>
            </w:tcMar>
          </w:tcPr>
          <w:p>
            <w:pPr>
              <w:spacing w:after="0" w:line="240" w:lineRule="auto"/>
            </w:pPr>
            <w:r>
              <w:rPr>
                <w:rFonts w:ascii="Aptos" w:hAnsi="Aptos"/>
                <w:b/>
                <w:color w:val="FFFFFF"/>
                <w:sz w:val="14"/>
              </w:rPr>
              <w:t>File or folder</w:t>
            </w:r>
          </w:p>
        </w:tc>
        <w:tc>
          <w:tcPr>
            <w:tcW w:type="dxa" w:w="4104"/>
            <w:vAlign w:val="center"/>
            <w:shd w:fill="18364D" w:val="clear"/>
            <w:tcMar>
              <w:top w:w="95" w:type="dxa"/>
              <w:start w:w="110" w:type="dxa"/>
              <w:bottom w:w="95" w:type="dxa"/>
              <w:end w:w="110" w:type="dxa"/>
            </w:tcMar>
          </w:tcPr>
          <w:p>
            <w:pPr>
              <w:spacing w:after="0" w:line="240" w:lineRule="auto"/>
            </w:pPr>
            <w:r>
              <w:rPr>
                <w:rFonts w:ascii="Aptos" w:hAnsi="Aptos"/>
                <w:b/>
                <w:color w:val="FFFFFF"/>
                <w:sz w:val="14"/>
              </w:rPr>
              <w:t>Responsibility</w:t>
            </w:r>
          </w:p>
        </w:tc>
        <w:tc>
          <w:tcPr>
            <w:tcW w:type="dxa" w:w="2448"/>
            <w:vAlign w:val="center"/>
            <w:shd w:fill="18364D" w:val="clear"/>
            <w:tcMar>
              <w:top w:w="95" w:type="dxa"/>
              <w:start w:w="110" w:type="dxa"/>
              <w:bottom w:w="95" w:type="dxa"/>
              <w:end w:w="110" w:type="dxa"/>
            </w:tcMar>
          </w:tcPr>
          <w:p>
            <w:pPr>
              <w:spacing w:after="0" w:line="240" w:lineRule="auto"/>
            </w:pPr>
            <w:r>
              <w:rPr>
                <w:rFonts w:ascii="Aptos" w:hAnsi="Aptos"/>
                <w:b/>
                <w:color w:val="FFFFFF"/>
                <w:sz w:val="14"/>
              </w:rPr>
              <w:t>Typical reason to open it</w:t>
            </w:r>
          </w:p>
        </w:tc>
      </w:tr>
      <w:tr>
        <w:trPr>
          <w:cantSplit/>
        </w:trPr>
        <w:tc>
          <w:tcPr>
            <w:tcW w:type="dxa" w:w="3384"/>
            <w:vAlign w:val="center"/>
            <w:tcMar>
              <w:top w:w="95" w:type="dxa"/>
              <w:start w:w="110" w:type="dxa"/>
              <w:bottom w:w="95" w:type="dxa"/>
              <w:end w:w="110" w:type="dxa"/>
            </w:tcMar>
          </w:tcPr>
          <w:p>
            <w:pPr>
              <w:spacing w:after="0" w:line="240" w:lineRule="auto"/>
            </w:pPr>
            <w:r>
              <w:rPr>
                <w:rFonts w:ascii="Aptos" w:hAnsi="Aptos"/>
                <w:color w:val="202A33"/>
                <w:sz w:val="14"/>
              </w:rPr>
              <w:t>src/config.py</w:t>
            </w:r>
          </w:p>
        </w:tc>
        <w:tc>
          <w:tcPr>
            <w:tcW w:type="dxa" w:w="4104"/>
            <w:vAlign w:val="center"/>
            <w:tcMar>
              <w:top w:w="95" w:type="dxa"/>
              <w:start w:w="110" w:type="dxa"/>
              <w:bottom w:w="95" w:type="dxa"/>
              <w:end w:w="110" w:type="dxa"/>
            </w:tcMar>
          </w:tcPr>
          <w:p>
            <w:pPr>
              <w:spacing w:after="0" w:line="240" w:lineRule="auto"/>
            </w:pPr>
            <w:r>
              <w:rPr>
                <w:rFonts w:ascii="Aptos" w:hAnsi="Aptos"/>
                <w:color w:val="202A33"/>
                <w:sz w:val="14"/>
              </w:rPr>
              <w:t>Default seed, counts, start date, and fictional unit economics.</w:t>
            </w:r>
          </w:p>
        </w:tc>
        <w:tc>
          <w:tcPr>
            <w:tcW w:type="dxa" w:w="2448"/>
            <w:vAlign w:val="center"/>
            <w:tcMar>
              <w:top w:w="95" w:type="dxa"/>
              <w:start w:w="110" w:type="dxa"/>
              <w:bottom w:w="95" w:type="dxa"/>
              <w:end w:w="110" w:type="dxa"/>
            </w:tcMar>
          </w:tcPr>
          <w:p>
            <w:pPr>
              <w:spacing w:after="0" w:line="240" w:lineRule="auto"/>
            </w:pPr>
            <w:r>
              <w:rPr>
                <w:rFonts w:ascii="Aptos" w:hAnsi="Aptos"/>
                <w:color w:val="202A33"/>
                <w:sz w:val="14"/>
              </w:rPr>
              <w:t>Change a named assumption used throughout the run.</w:t>
            </w:r>
          </w:p>
        </w:tc>
      </w:tr>
      <w:tr>
        <w:trPr>
          <w:cantSplit/>
        </w:trPr>
        <w:tc>
          <w:tcPr>
            <w:tcW w:type="dxa" w:w="3384"/>
            <w:vAlign w:val="center"/>
            <w:tcMar>
              <w:top w:w="95" w:type="dxa"/>
              <w:start w:w="110" w:type="dxa"/>
              <w:bottom w:w="95" w:type="dxa"/>
              <w:end w:w="110" w:type="dxa"/>
            </w:tcMar>
            <w:shd w:fill="EAF1F6" w:val="clear"/>
          </w:tcPr>
          <w:p>
            <w:pPr>
              <w:spacing w:after="0" w:line="240" w:lineRule="auto"/>
            </w:pPr>
            <w:r>
              <w:rPr>
                <w:rFonts w:ascii="Aptos" w:hAnsi="Aptos"/>
                <w:color w:val="202A33"/>
                <w:sz w:val="14"/>
              </w:rPr>
              <w:t>src/simulation/generate_customers.py</w:t>
            </w:r>
          </w:p>
        </w:tc>
        <w:tc>
          <w:tcPr>
            <w:tcW w:type="dxa" w:w="4104"/>
            <w:vAlign w:val="center"/>
            <w:tcMar>
              <w:top w:w="95" w:type="dxa"/>
              <w:start w:w="110" w:type="dxa"/>
              <w:bottom w:w="95" w:type="dxa"/>
              <w:end w:w="110" w:type="dxa"/>
            </w:tcMar>
            <w:shd w:fill="EAF1F6" w:val="clear"/>
          </w:tcPr>
          <w:p>
            <w:pPr>
              <w:spacing w:after="0" w:line="240" w:lineRule="auto"/>
            </w:pPr>
            <w:r>
              <w:rPr>
                <w:rFonts w:ascii="Aptos" w:hAnsi="Aptos"/>
                <w:color w:val="202A33"/>
                <w:sz w:val="14"/>
              </w:rPr>
              <w:t>Customer profile sampling and the 20-customer seed sample.</w:t>
            </w:r>
          </w:p>
        </w:tc>
        <w:tc>
          <w:tcPr>
            <w:tcW w:type="dxa" w:w="2448"/>
            <w:vAlign w:val="center"/>
            <w:tcMar>
              <w:top w:w="95" w:type="dxa"/>
              <w:start w:w="110" w:type="dxa"/>
              <w:bottom w:w="95" w:type="dxa"/>
              <w:end w:w="110" w:type="dxa"/>
            </w:tcMar>
            <w:shd w:fill="EAF1F6" w:val="clear"/>
          </w:tcPr>
          <w:p>
            <w:pPr>
              <w:spacing w:after="0" w:line="240" w:lineRule="auto"/>
            </w:pPr>
            <w:r>
              <w:rPr>
                <w:rFonts w:ascii="Aptos" w:hAnsi="Aptos"/>
                <w:color w:val="202A33"/>
                <w:sz w:val="14"/>
              </w:rPr>
              <w:t>Understand segment, spend, rate, region, and KYC draws.</w:t>
            </w:r>
          </w:p>
        </w:tc>
      </w:tr>
      <w:tr>
        <w:trPr>
          <w:cantSplit/>
        </w:trPr>
        <w:tc>
          <w:tcPr>
            <w:tcW w:type="dxa" w:w="3384"/>
            <w:vAlign w:val="center"/>
            <w:tcMar>
              <w:top w:w="95" w:type="dxa"/>
              <w:start w:w="110" w:type="dxa"/>
              <w:bottom w:w="95" w:type="dxa"/>
              <w:end w:w="110" w:type="dxa"/>
            </w:tcMar>
          </w:tcPr>
          <w:p>
            <w:pPr>
              <w:spacing w:after="0" w:line="240" w:lineRule="auto"/>
            </w:pPr>
            <w:r>
              <w:rPr>
                <w:rFonts w:ascii="Aptos" w:hAnsi="Aptos"/>
                <w:color w:val="202A33"/>
                <w:sz w:val="14"/>
              </w:rPr>
              <w:t>src/simulation/generate_world.py</w:t>
            </w:r>
          </w:p>
        </w:tc>
        <w:tc>
          <w:tcPr>
            <w:tcW w:type="dxa" w:w="4104"/>
            <w:vAlign w:val="center"/>
            <w:tcMar>
              <w:top w:w="95" w:type="dxa"/>
              <w:start w:w="110" w:type="dxa"/>
              <w:bottom w:w="95" w:type="dxa"/>
              <w:end w:w="110" w:type="dxa"/>
            </w:tcMar>
          </w:tcPr>
          <w:p>
            <w:pPr>
              <w:spacing w:after="0" w:line="240" w:lineRule="auto"/>
            </w:pPr>
            <w:r>
              <w:rPr>
                <w:rFonts w:ascii="Aptos" w:hAnsi="Aptos"/>
                <w:color w:val="202A33"/>
                <w:sz w:val="14"/>
              </w:rPr>
              <w:t>Accounts, merchants, terminals, familiarity, and baseline events.</w:t>
            </w:r>
          </w:p>
        </w:tc>
        <w:tc>
          <w:tcPr>
            <w:tcW w:type="dxa" w:w="2448"/>
            <w:vAlign w:val="center"/>
            <w:tcMar>
              <w:top w:w="95" w:type="dxa"/>
              <w:start w:w="110" w:type="dxa"/>
              <w:bottom w:w="95" w:type="dxa"/>
              <w:end w:w="110" w:type="dxa"/>
            </w:tcMar>
          </w:tcPr>
          <w:p>
            <w:pPr>
              <w:spacing w:after="0" w:line="240" w:lineRule="auto"/>
            </w:pPr>
            <w:r>
              <w:rPr>
                <w:rFonts w:ascii="Aptos" w:hAnsi="Aptos"/>
                <w:color w:val="202A33"/>
                <w:sz w:val="14"/>
              </w:rPr>
              <w:t>Change ordinary activity generation or entity relationships.</w:t>
            </w:r>
          </w:p>
        </w:tc>
      </w:tr>
      <w:tr>
        <w:trPr>
          <w:cantSplit/>
        </w:trPr>
        <w:tc>
          <w:tcPr>
            <w:tcW w:type="dxa" w:w="3384"/>
            <w:vAlign w:val="center"/>
            <w:tcMar>
              <w:top w:w="95" w:type="dxa"/>
              <w:start w:w="110" w:type="dxa"/>
              <w:bottom w:w="95" w:type="dxa"/>
              <w:end w:w="110" w:type="dxa"/>
            </w:tcMar>
            <w:shd w:fill="EAF1F6" w:val="clear"/>
          </w:tcPr>
          <w:p>
            <w:pPr>
              <w:spacing w:after="0" w:line="240" w:lineRule="auto"/>
            </w:pPr>
            <w:r>
              <w:rPr>
                <w:rFonts w:ascii="Aptos" w:hAnsi="Aptos"/>
                <w:color w:val="202A33"/>
                <w:sz w:val="14"/>
              </w:rPr>
              <w:t>src/simulation/inject_fraud.py</w:t>
            </w:r>
          </w:p>
        </w:tc>
        <w:tc>
          <w:tcPr>
            <w:tcW w:type="dxa" w:w="4104"/>
            <w:vAlign w:val="center"/>
            <w:tcMar>
              <w:top w:w="95" w:type="dxa"/>
              <w:start w:w="110" w:type="dxa"/>
              <w:bottom w:w="95" w:type="dxa"/>
              <w:end w:w="110" w:type="dxa"/>
            </w:tcMar>
            <w:shd w:fill="EAF1F6" w:val="clear"/>
          </w:tcPr>
          <w:p>
            <w:pPr>
              <w:spacing w:after="0" w:line="240" w:lineRule="auto"/>
            </w:pPr>
            <w:r>
              <w:rPr>
                <w:rFonts w:ascii="Aptos" w:hAnsi="Aptos"/>
                <w:color w:val="202A33"/>
                <w:sz w:val="14"/>
              </w:rPr>
              <w:t>Four planted typologies and separate evaluation truth.</w:t>
            </w:r>
          </w:p>
        </w:tc>
        <w:tc>
          <w:tcPr>
            <w:tcW w:type="dxa" w:w="2448"/>
            <w:vAlign w:val="center"/>
            <w:tcMar>
              <w:top w:w="95" w:type="dxa"/>
              <w:start w:w="110" w:type="dxa"/>
              <w:bottom w:w="95" w:type="dxa"/>
              <w:end w:w="110" w:type="dxa"/>
            </w:tcMar>
            <w:shd w:fill="EAF1F6" w:val="clear"/>
          </w:tcPr>
          <w:p>
            <w:pPr>
              <w:spacing w:after="0" w:line="240" w:lineRule="auto"/>
            </w:pPr>
            <w:r>
              <w:rPr>
                <w:rFonts w:ascii="Aptos" w:hAnsi="Aptos"/>
                <w:color w:val="202A33"/>
                <w:sz w:val="14"/>
              </w:rPr>
              <w:t>Change injection counts, timings, or signatures.</w:t>
            </w:r>
          </w:p>
        </w:tc>
      </w:tr>
      <w:tr>
        <w:trPr>
          <w:cantSplit/>
        </w:trPr>
        <w:tc>
          <w:tcPr>
            <w:tcW w:type="dxa" w:w="3384"/>
            <w:vAlign w:val="center"/>
            <w:tcMar>
              <w:top w:w="95" w:type="dxa"/>
              <w:start w:w="110" w:type="dxa"/>
              <w:bottom w:w="95" w:type="dxa"/>
              <w:end w:w="110" w:type="dxa"/>
            </w:tcMar>
          </w:tcPr>
          <w:p>
            <w:pPr>
              <w:spacing w:after="0" w:line="240" w:lineRule="auto"/>
            </w:pPr>
            <w:r>
              <w:rPr>
                <w:rFonts w:ascii="Aptos" w:hAnsi="Aptos"/>
                <w:color w:val="202A33"/>
                <w:sz w:val="14"/>
              </w:rPr>
              <w:t>src/features/build_features.py</w:t>
            </w:r>
          </w:p>
        </w:tc>
        <w:tc>
          <w:tcPr>
            <w:tcW w:type="dxa" w:w="4104"/>
            <w:vAlign w:val="center"/>
            <w:tcMar>
              <w:top w:w="95" w:type="dxa"/>
              <w:start w:w="110" w:type="dxa"/>
              <w:bottom w:w="95" w:type="dxa"/>
              <w:end w:w="110" w:type="dxa"/>
            </w:tcMar>
          </w:tcPr>
          <w:p>
            <w:pPr>
              <w:spacing w:after="0" w:line="240" w:lineRule="auto"/>
            </w:pPr>
            <w:r>
              <w:rPr>
                <w:rFonts w:ascii="Aptos" w:hAnsi="Aptos"/>
                <w:color w:val="202A33"/>
                <w:sz w:val="14"/>
              </w:rPr>
              <w:t>Ordered event histories and the 12 point-in-time features.</w:t>
            </w:r>
          </w:p>
        </w:tc>
        <w:tc>
          <w:tcPr>
            <w:tcW w:type="dxa" w:w="2448"/>
            <w:vAlign w:val="center"/>
            <w:tcMar>
              <w:top w:w="95" w:type="dxa"/>
              <w:start w:w="110" w:type="dxa"/>
              <w:bottom w:w="95" w:type="dxa"/>
              <w:end w:w="110" w:type="dxa"/>
            </w:tcMar>
          </w:tcPr>
          <w:p>
            <w:pPr>
              <w:spacing w:after="0" w:line="240" w:lineRule="auto"/>
            </w:pPr>
            <w:r>
              <w:rPr>
                <w:rFonts w:ascii="Aptos" w:hAnsi="Aptos"/>
                <w:color w:val="202A33"/>
                <w:sz w:val="14"/>
              </w:rPr>
              <w:t>Inspect event-time safety or add an observable signal.</w:t>
            </w:r>
          </w:p>
        </w:tc>
      </w:tr>
      <w:tr>
        <w:trPr>
          <w:cantSplit/>
        </w:trPr>
        <w:tc>
          <w:tcPr>
            <w:tcW w:type="dxa" w:w="3384"/>
            <w:vAlign w:val="center"/>
            <w:tcMar>
              <w:top w:w="95" w:type="dxa"/>
              <w:start w:w="110" w:type="dxa"/>
              <w:bottom w:w="95" w:type="dxa"/>
              <w:end w:w="110" w:type="dxa"/>
            </w:tcMar>
            <w:shd w:fill="EAF1F6" w:val="clear"/>
          </w:tcPr>
          <w:p>
            <w:pPr>
              <w:spacing w:after="0" w:line="240" w:lineRule="auto"/>
            </w:pPr>
            <w:r>
              <w:rPr>
                <w:rFonts w:ascii="Aptos" w:hAnsi="Aptos"/>
                <w:color w:val="202A33"/>
                <w:sz w:val="14"/>
              </w:rPr>
              <w:t>src/rules/score_rules.py</w:t>
            </w:r>
          </w:p>
        </w:tc>
        <w:tc>
          <w:tcPr>
            <w:tcW w:type="dxa" w:w="4104"/>
            <w:vAlign w:val="center"/>
            <w:tcMar>
              <w:top w:w="95" w:type="dxa"/>
              <w:start w:w="110" w:type="dxa"/>
              <w:bottom w:w="95" w:type="dxa"/>
              <w:end w:w="110" w:type="dxa"/>
            </w:tcMar>
            <w:shd w:fill="EAF1F6" w:val="clear"/>
          </w:tcPr>
          <w:p>
            <w:pPr>
              <w:spacing w:after="0" w:line="240" w:lineRule="auto"/>
            </w:pPr>
            <w:r>
              <w:rPr>
                <w:rFonts w:ascii="Aptos" w:hAnsi="Aptos"/>
                <w:color w:val="202A33"/>
                <w:sz w:val="14"/>
              </w:rPr>
              <w:t>Readable points and reason codes.</w:t>
            </w:r>
          </w:p>
        </w:tc>
        <w:tc>
          <w:tcPr>
            <w:tcW w:type="dxa" w:w="2448"/>
            <w:vAlign w:val="center"/>
            <w:tcMar>
              <w:top w:w="95" w:type="dxa"/>
              <w:start w:w="110" w:type="dxa"/>
              <w:bottom w:w="95" w:type="dxa"/>
              <w:end w:w="110" w:type="dxa"/>
            </w:tcMar>
            <w:shd w:fill="EAF1F6" w:val="clear"/>
          </w:tcPr>
          <w:p>
            <w:pPr>
              <w:spacing w:after="0" w:line="240" w:lineRule="auto"/>
            </w:pPr>
            <w:r>
              <w:rPr>
                <w:rFonts w:ascii="Aptos" w:hAnsi="Aptos"/>
                <w:color w:val="202A33"/>
                <w:sz w:val="14"/>
              </w:rPr>
              <w:t>Review or revise transparent signals.</w:t>
            </w:r>
          </w:p>
        </w:tc>
      </w:tr>
      <w:tr>
        <w:trPr>
          <w:cantSplit/>
        </w:trPr>
        <w:tc>
          <w:tcPr>
            <w:tcW w:type="dxa" w:w="3384"/>
            <w:vAlign w:val="center"/>
            <w:tcMar>
              <w:top w:w="95" w:type="dxa"/>
              <w:start w:w="110" w:type="dxa"/>
              <w:bottom w:w="95" w:type="dxa"/>
              <w:end w:w="110" w:type="dxa"/>
            </w:tcMar>
          </w:tcPr>
          <w:p>
            <w:pPr>
              <w:spacing w:after="0" w:line="240" w:lineRule="auto"/>
            </w:pPr>
            <w:r>
              <w:rPr>
                <w:rFonts w:ascii="Aptos" w:hAnsi="Aptos"/>
                <w:color w:val="202A33"/>
                <w:sz w:val="14"/>
              </w:rPr>
              <w:t>src/models/logistic_baseline.py</w:t>
            </w:r>
          </w:p>
        </w:tc>
        <w:tc>
          <w:tcPr>
            <w:tcW w:type="dxa" w:w="4104"/>
            <w:vAlign w:val="center"/>
            <w:tcMar>
              <w:top w:w="95" w:type="dxa"/>
              <w:start w:w="110" w:type="dxa"/>
              <w:bottom w:w="95" w:type="dxa"/>
              <w:end w:w="110" w:type="dxa"/>
            </w:tcMar>
          </w:tcPr>
          <w:p>
            <w:pPr>
              <w:spacing w:after="0" w:line="240" w:lineRule="auto"/>
            </w:pPr>
            <w:r>
              <w:rPr>
                <w:rFonts w:ascii="Aptos" w:hAnsi="Aptos"/>
                <w:color w:val="202A33"/>
                <w:sz w:val="14"/>
              </w:rPr>
              <w:t>NumPy model fitting, standardization, and score prediction.</w:t>
            </w:r>
          </w:p>
        </w:tc>
        <w:tc>
          <w:tcPr>
            <w:tcW w:type="dxa" w:w="2448"/>
            <w:vAlign w:val="center"/>
            <w:tcMar>
              <w:top w:w="95" w:type="dxa"/>
              <w:start w:w="110" w:type="dxa"/>
              <w:bottom w:w="95" w:type="dxa"/>
              <w:end w:w="110" w:type="dxa"/>
            </w:tcMar>
          </w:tcPr>
          <w:p>
            <w:pPr>
              <w:spacing w:after="0" w:line="240" w:lineRule="auto"/>
            </w:pPr>
            <w:r>
              <w:rPr>
                <w:rFonts w:ascii="Aptos" w:hAnsi="Aptos"/>
                <w:color w:val="202A33"/>
                <w:sz w:val="14"/>
              </w:rPr>
              <w:t>Inspect model optimization and saved coefficients.</w:t>
            </w:r>
          </w:p>
        </w:tc>
      </w:tr>
      <w:tr>
        <w:trPr>
          <w:cantSplit/>
        </w:trPr>
        <w:tc>
          <w:tcPr>
            <w:tcW w:type="dxa" w:w="3384"/>
            <w:vAlign w:val="center"/>
            <w:tcMar>
              <w:top w:w="95" w:type="dxa"/>
              <w:start w:w="110" w:type="dxa"/>
              <w:bottom w:w="95" w:type="dxa"/>
              <w:end w:w="110" w:type="dxa"/>
            </w:tcMar>
            <w:shd w:fill="EAF1F6" w:val="clear"/>
          </w:tcPr>
          <w:p>
            <w:pPr>
              <w:spacing w:after="0" w:line="240" w:lineRule="auto"/>
            </w:pPr>
            <w:r>
              <w:rPr>
                <w:rFonts w:ascii="Aptos" w:hAnsi="Aptos"/>
                <w:color w:val="202A33"/>
                <w:sz w:val="14"/>
              </w:rPr>
              <w:t>src/decisions/policies.py</w:t>
            </w:r>
          </w:p>
        </w:tc>
        <w:tc>
          <w:tcPr>
            <w:tcW w:type="dxa" w:w="4104"/>
            <w:vAlign w:val="center"/>
            <w:tcMar>
              <w:top w:w="95" w:type="dxa"/>
              <w:start w:w="110" w:type="dxa"/>
              <w:bottom w:w="95" w:type="dxa"/>
              <w:end w:w="110" w:type="dxa"/>
            </w:tcMar>
            <w:shd w:fill="EAF1F6" w:val="clear"/>
          </w:tcPr>
          <w:p>
            <w:pPr>
              <w:spacing w:after="0" w:line="240" w:lineRule="auto"/>
            </w:pPr>
            <w:r>
              <w:rPr>
                <w:rFonts w:ascii="Aptos" w:hAnsi="Aptos"/>
                <w:color w:val="202A33"/>
                <w:sz w:val="14"/>
              </w:rPr>
              <w:t>Thresholds, daily review queue, per-event cost, and strategy metrics.</w:t>
            </w:r>
          </w:p>
        </w:tc>
        <w:tc>
          <w:tcPr>
            <w:tcW w:type="dxa" w:w="2448"/>
            <w:vAlign w:val="center"/>
            <w:tcMar>
              <w:top w:w="95" w:type="dxa"/>
              <w:start w:w="110" w:type="dxa"/>
              <w:bottom w:w="95" w:type="dxa"/>
              <w:end w:w="110" w:type="dxa"/>
            </w:tcMar>
            <w:shd w:fill="EAF1F6" w:val="clear"/>
          </w:tcPr>
          <w:p>
            <w:pPr>
              <w:spacing w:after="0" w:line="240" w:lineRule="auto"/>
            </w:pPr>
            <w:r>
              <w:rPr>
                <w:rFonts w:ascii="Aptos" w:hAnsi="Aptos"/>
                <w:color w:val="202A33"/>
                <w:sz w:val="14"/>
              </w:rPr>
              <w:t>Change actions, queue behavior, or cost formulas.</w:t>
            </w:r>
          </w:p>
        </w:tc>
      </w:tr>
      <w:tr>
        <w:trPr>
          <w:cantSplit/>
        </w:trPr>
        <w:tc>
          <w:tcPr>
            <w:tcW w:type="dxa" w:w="3384"/>
            <w:vAlign w:val="center"/>
            <w:tcMar>
              <w:top w:w="95" w:type="dxa"/>
              <w:start w:w="110" w:type="dxa"/>
              <w:bottom w:w="95" w:type="dxa"/>
              <w:end w:w="110" w:type="dxa"/>
            </w:tcMar>
          </w:tcPr>
          <w:p>
            <w:pPr>
              <w:spacing w:after="0" w:line="240" w:lineRule="auto"/>
            </w:pPr>
            <w:r>
              <w:rPr>
                <w:rFonts w:ascii="Aptos" w:hAnsi="Aptos"/>
                <w:color w:val="202A33"/>
                <w:sz w:val="14"/>
              </w:rPr>
              <w:t>src/evaluation/metrics.py</w:t>
            </w:r>
          </w:p>
        </w:tc>
        <w:tc>
          <w:tcPr>
            <w:tcW w:type="dxa" w:w="4104"/>
            <w:vAlign w:val="center"/>
            <w:tcMar>
              <w:top w:w="95" w:type="dxa"/>
              <w:start w:w="110" w:type="dxa"/>
              <w:bottom w:w="95" w:type="dxa"/>
              <w:end w:w="110" w:type="dxa"/>
            </w:tcMar>
          </w:tcPr>
          <w:p>
            <w:pPr>
              <w:spacing w:after="0" w:line="240" w:lineRule="auto"/>
            </w:pPr>
            <w:r>
              <w:rPr>
                <w:rFonts w:ascii="Aptos" w:hAnsi="Aptos"/>
                <w:color w:val="202A33"/>
                <w:sz w:val="14"/>
              </w:rPr>
              <w:t>Average precision and action counts.</w:t>
            </w:r>
          </w:p>
        </w:tc>
        <w:tc>
          <w:tcPr>
            <w:tcW w:type="dxa" w:w="2448"/>
            <w:vAlign w:val="center"/>
            <w:tcMar>
              <w:top w:w="95" w:type="dxa"/>
              <w:start w:w="110" w:type="dxa"/>
              <w:bottom w:w="95" w:type="dxa"/>
              <w:end w:w="110" w:type="dxa"/>
            </w:tcMar>
          </w:tcPr>
          <w:p>
            <w:pPr>
              <w:spacing w:after="0" w:line="240" w:lineRule="auto"/>
            </w:pPr>
            <w:r>
              <w:rPr>
                <w:rFonts w:ascii="Aptos" w:hAnsi="Aptos"/>
                <w:color w:val="202A33"/>
                <w:sz w:val="14"/>
              </w:rPr>
              <w:t>Understand rare-event ranking and action summaries.</w:t>
            </w:r>
          </w:p>
        </w:tc>
      </w:tr>
      <w:tr>
        <w:trPr>
          <w:cantSplit/>
        </w:trPr>
        <w:tc>
          <w:tcPr>
            <w:tcW w:type="dxa" w:w="3384"/>
            <w:vAlign w:val="center"/>
            <w:tcMar>
              <w:top w:w="95" w:type="dxa"/>
              <w:start w:w="110" w:type="dxa"/>
              <w:bottom w:w="95" w:type="dxa"/>
              <w:end w:w="110" w:type="dxa"/>
            </w:tcMar>
            <w:shd w:fill="EAF1F6" w:val="clear"/>
          </w:tcPr>
          <w:p>
            <w:pPr>
              <w:spacing w:after="0" w:line="240" w:lineRule="auto"/>
            </w:pPr>
            <w:r>
              <w:rPr>
                <w:rFonts w:ascii="Aptos" w:hAnsi="Aptos"/>
                <w:color w:val="202A33"/>
                <w:sz w:val="14"/>
              </w:rPr>
              <w:t>src/run_project.py</w:t>
            </w:r>
          </w:p>
        </w:tc>
        <w:tc>
          <w:tcPr>
            <w:tcW w:type="dxa" w:w="4104"/>
            <w:vAlign w:val="center"/>
            <w:tcMar>
              <w:top w:w="95" w:type="dxa"/>
              <w:start w:w="110" w:type="dxa"/>
              <w:bottom w:w="95" w:type="dxa"/>
              <w:end w:w="110" w:type="dxa"/>
            </w:tcMar>
            <w:shd w:fill="EAF1F6" w:val="clear"/>
          </w:tcPr>
          <w:p>
            <w:pPr>
              <w:spacing w:after="0" w:line="240" w:lineRule="auto"/>
            </w:pPr>
            <w:r>
              <w:rPr>
                <w:rFonts w:ascii="Aptos" w:hAnsi="Aptos"/>
                <w:color w:val="202A33"/>
                <w:sz w:val="14"/>
              </w:rPr>
              <w:t>End-to-end orchestration, temporal split, and sensitivity work.</w:t>
            </w:r>
          </w:p>
        </w:tc>
        <w:tc>
          <w:tcPr>
            <w:tcW w:type="dxa" w:w="2448"/>
            <w:vAlign w:val="center"/>
            <w:tcMar>
              <w:top w:w="95" w:type="dxa"/>
              <w:start w:w="110" w:type="dxa"/>
              <w:bottom w:w="95" w:type="dxa"/>
              <w:end w:w="110" w:type="dxa"/>
            </w:tcMar>
            <w:shd w:fill="EAF1F6" w:val="clear"/>
          </w:tcPr>
          <w:p>
            <w:pPr>
              <w:spacing w:after="0" w:line="240" w:lineRule="auto"/>
            </w:pPr>
            <w:r>
              <w:rPr>
                <w:rFonts w:ascii="Aptos" w:hAnsi="Aptos"/>
                <w:color w:val="202A33"/>
                <w:sz w:val="14"/>
              </w:rPr>
              <w:t>Follow the whole run or add an evaluation output.</w:t>
            </w:r>
          </w:p>
        </w:tc>
      </w:tr>
      <w:tr>
        <w:trPr>
          <w:cantSplit/>
        </w:trPr>
        <w:tc>
          <w:tcPr>
            <w:tcW w:type="dxa" w:w="3384"/>
            <w:vAlign w:val="center"/>
            <w:tcMar>
              <w:top w:w="95" w:type="dxa"/>
              <w:start w:w="110" w:type="dxa"/>
              <w:bottom w:w="95" w:type="dxa"/>
              <w:end w:w="110" w:type="dxa"/>
            </w:tcMar>
          </w:tcPr>
          <w:p>
            <w:pPr>
              <w:spacing w:after="0" w:line="240" w:lineRule="auto"/>
            </w:pPr>
            <w:r>
              <w:rPr>
                <w:rFonts w:ascii="Aptos" w:hAnsi="Aptos"/>
                <w:color w:val="202A33"/>
                <w:sz w:val="14"/>
              </w:rPr>
              <w:t>src/storage.py</w:t>
            </w:r>
          </w:p>
        </w:tc>
        <w:tc>
          <w:tcPr>
            <w:tcW w:type="dxa" w:w="4104"/>
            <w:vAlign w:val="center"/>
            <w:tcMar>
              <w:top w:w="95" w:type="dxa"/>
              <w:start w:w="110" w:type="dxa"/>
              <w:bottom w:w="95" w:type="dxa"/>
              <w:end w:w="110" w:type="dxa"/>
            </w:tcMar>
          </w:tcPr>
          <w:p>
            <w:pPr>
              <w:spacing w:after="0" w:line="240" w:lineRule="auto"/>
            </w:pPr>
            <w:r>
              <w:rPr>
                <w:rFonts w:ascii="Aptos" w:hAnsi="Aptos"/>
                <w:color w:val="202A33"/>
                <w:sz w:val="14"/>
              </w:rPr>
              <w:t>Writes CSV outputs and public tables into SQLite.</w:t>
            </w:r>
          </w:p>
        </w:tc>
        <w:tc>
          <w:tcPr>
            <w:tcW w:type="dxa" w:w="2448"/>
            <w:vAlign w:val="center"/>
            <w:tcMar>
              <w:top w:w="95" w:type="dxa"/>
              <w:start w:w="110" w:type="dxa"/>
              <w:bottom w:w="95" w:type="dxa"/>
              <w:end w:w="110" w:type="dxa"/>
            </w:tcMar>
          </w:tcPr>
          <w:p>
            <w:pPr>
              <w:spacing w:after="0" w:line="240" w:lineRule="auto"/>
            </w:pPr>
            <w:r>
              <w:rPr>
                <w:rFonts w:ascii="Aptos" w:hAnsi="Aptos"/>
                <w:color w:val="202A33"/>
                <w:sz w:val="14"/>
              </w:rPr>
              <w:t>Change persistence without changing the generator.</w:t>
            </w:r>
          </w:p>
        </w:tc>
      </w:tr>
      <w:tr>
        <w:trPr>
          <w:cantSplit/>
        </w:trPr>
        <w:tc>
          <w:tcPr>
            <w:tcW w:type="dxa" w:w="3384"/>
            <w:vAlign w:val="center"/>
            <w:tcMar>
              <w:top w:w="95" w:type="dxa"/>
              <w:start w:w="110" w:type="dxa"/>
              <w:bottom w:w="95" w:type="dxa"/>
              <w:end w:w="110" w:type="dxa"/>
            </w:tcMar>
            <w:shd w:fill="EAF1F6" w:val="clear"/>
          </w:tcPr>
          <w:p>
            <w:pPr>
              <w:spacing w:after="0" w:line="240" w:lineRule="auto"/>
            </w:pPr>
            <w:r>
              <w:rPr>
                <w:rFonts w:ascii="Aptos" w:hAnsi="Aptos"/>
                <w:color w:val="202A33"/>
                <w:sz w:val="14"/>
              </w:rPr>
              <w:t>src/monitoring.py</w:t>
            </w:r>
          </w:p>
        </w:tc>
        <w:tc>
          <w:tcPr>
            <w:tcW w:type="dxa" w:w="4104"/>
            <w:vAlign w:val="center"/>
            <w:tcMar>
              <w:top w:w="95" w:type="dxa"/>
              <w:start w:w="110" w:type="dxa"/>
              <w:bottom w:w="95" w:type="dxa"/>
              <w:end w:w="110" w:type="dxa"/>
            </w:tcMar>
            <w:shd w:fill="EAF1F6" w:val="clear"/>
          </w:tcPr>
          <w:p>
            <w:pPr>
              <w:spacing w:after="0" w:line="240" w:lineRule="auto"/>
            </w:pPr>
            <w:r>
              <w:rPr>
                <w:rFonts w:ascii="Aptos" w:hAnsi="Aptos"/>
                <w:color w:val="202A33"/>
                <w:sz w:val="14"/>
              </w:rPr>
              <w:t>Daily observable rates and lagged z-score alerts.</w:t>
            </w:r>
          </w:p>
        </w:tc>
        <w:tc>
          <w:tcPr>
            <w:tcW w:type="dxa" w:w="2448"/>
            <w:vAlign w:val="center"/>
            <w:tcMar>
              <w:top w:w="95" w:type="dxa"/>
              <w:start w:w="110" w:type="dxa"/>
              <w:bottom w:w="95" w:type="dxa"/>
              <w:end w:w="110" w:type="dxa"/>
            </w:tcMar>
            <w:shd w:fill="EAF1F6" w:val="clear"/>
          </w:tcPr>
          <w:p>
            <w:pPr>
              <w:spacing w:after="0" w:line="240" w:lineRule="auto"/>
            </w:pPr>
            <w:r>
              <w:rPr>
                <w:rFonts w:ascii="Aptos" w:hAnsi="Aptos"/>
                <w:color w:val="202A33"/>
                <w:sz w:val="14"/>
              </w:rPr>
              <w:t>Modify the operating signal baselines.</w:t>
            </w:r>
          </w:p>
        </w:tc>
      </w:tr>
      <w:tr>
        <w:trPr>
          <w:cantSplit/>
        </w:trPr>
        <w:tc>
          <w:tcPr>
            <w:tcW w:type="dxa" w:w="3384"/>
            <w:vAlign w:val="center"/>
            <w:tcMar>
              <w:top w:w="95" w:type="dxa"/>
              <w:start w:w="110" w:type="dxa"/>
              <w:bottom w:w="95" w:type="dxa"/>
              <w:end w:w="110" w:type="dxa"/>
            </w:tcMar>
          </w:tcPr>
          <w:p>
            <w:pPr>
              <w:spacing w:after="0" w:line="240" w:lineRule="auto"/>
            </w:pPr>
            <w:r>
              <w:rPr>
                <w:rFonts w:ascii="Aptos" w:hAnsi="Aptos"/>
                <w:color w:val="202A33"/>
                <w:sz w:val="14"/>
              </w:rPr>
              <w:t>src/network_intelligence.py</w:t>
            </w:r>
          </w:p>
        </w:tc>
        <w:tc>
          <w:tcPr>
            <w:tcW w:type="dxa" w:w="4104"/>
            <w:vAlign w:val="center"/>
            <w:tcMar>
              <w:top w:w="95" w:type="dxa"/>
              <w:start w:w="110" w:type="dxa"/>
              <w:bottom w:w="95" w:type="dxa"/>
              <w:end w:w="110" w:type="dxa"/>
            </w:tcMar>
          </w:tcPr>
          <w:p>
            <w:pPr>
              <w:spacing w:after="0" w:line="240" w:lineRule="auto"/>
            </w:pPr>
            <w:r>
              <w:rPr>
                <w:rFonts w:ascii="Aptos" w:hAnsi="Aptos"/>
                <w:color w:val="202A33"/>
                <w:sz w:val="14"/>
              </w:rPr>
              <w:t>Full-run customer-terminal connectivity summary.</w:t>
            </w:r>
          </w:p>
        </w:tc>
        <w:tc>
          <w:tcPr>
            <w:tcW w:type="dxa" w:w="2448"/>
            <w:vAlign w:val="center"/>
            <w:tcMar>
              <w:top w:w="95" w:type="dxa"/>
              <w:start w:w="110" w:type="dxa"/>
              <w:bottom w:w="95" w:type="dxa"/>
              <w:end w:w="110" w:type="dxa"/>
            </w:tcMar>
          </w:tcPr>
          <w:p>
            <w:pPr>
              <w:spacing w:after="0" w:line="240" w:lineRule="auto"/>
            </w:pPr>
            <w:r>
              <w:rPr>
                <w:rFonts w:ascii="Aptos" w:hAnsi="Aptos"/>
                <w:color w:val="202A33"/>
                <w:sz w:val="14"/>
              </w:rPr>
              <w:t>Extend offline network investigation.</w:t>
            </w:r>
          </w:p>
        </w:tc>
      </w:tr>
      <w:tr>
        <w:trPr>
          <w:cantSplit/>
        </w:trPr>
        <w:tc>
          <w:tcPr>
            <w:tcW w:type="dxa" w:w="3384"/>
            <w:vAlign w:val="center"/>
            <w:tcMar>
              <w:top w:w="95" w:type="dxa"/>
              <w:start w:w="110" w:type="dxa"/>
              <w:bottom w:w="95" w:type="dxa"/>
              <w:end w:w="110" w:type="dxa"/>
            </w:tcMar>
            <w:shd w:fill="EAF1F6" w:val="clear"/>
          </w:tcPr>
          <w:p>
            <w:pPr>
              <w:spacing w:after="0" w:line="240" w:lineRule="auto"/>
            </w:pPr>
            <w:r>
              <w:rPr>
                <w:rFonts w:ascii="Aptos" w:hAnsi="Aptos"/>
                <w:color w:val="202A33"/>
                <w:sz w:val="14"/>
              </w:rPr>
              <w:t>src/reporting.py</w:t>
            </w:r>
          </w:p>
        </w:tc>
        <w:tc>
          <w:tcPr>
            <w:tcW w:type="dxa" w:w="4104"/>
            <w:vAlign w:val="center"/>
            <w:tcMar>
              <w:top w:w="95" w:type="dxa"/>
              <w:start w:w="110" w:type="dxa"/>
              <w:bottom w:w="95" w:type="dxa"/>
              <w:end w:w="110" w:type="dxa"/>
            </w:tcMar>
            <w:shd w:fill="EAF1F6" w:val="clear"/>
          </w:tcPr>
          <w:p>
            <w:pPr>
              <w:spacing w:after="0" w:line="240" w:lineRule="auto"/>
            </w:pPr>
            <w:r>
              <w:rPr>
                <w:rFonts w:ascii="Aptos" w:hAnsi="Aptos"/>
                <w:color w:val="202A33"/>
                <w:sz w:val="14"/>
              </w:rPr>
              <w:t>Generated case study and standalone HTML dashboard.</w:t>
            </w:r>
          </w:p>
        </w:tc>
        <w:tc>
          <w:tcPr>
            <w:tcW w:type="dxa" w:w="2448"/>
            <w:vAlign w:val="center"/>
            <w:tcMar>
              <w:top w:w="95" w:type="dxa"/>
              <w:start w:w="110" w:type="dxa"/>
              <w:bottom w:w="95" w:type="dxa"/>
              <w:end w:w="110" w:type="dxa"/>
            </w:tcMar>
            <w:shd w:fill="EAF1F6" w:val="clear"/>
          </w:tcPr>
          <w:p>
            <w:pPr>
              <w:spacing w:after="0" w:line="240" w:lineRule="auto"/>
            </w:pPr>
            <w:r>
              <w:rPr>
                <w:rFonts w:ascii="Aptos" w:hAnsi="Aptos"/>
                <w:color w:val="202A33"/>
                <w:sz w:val="14"/>
              </w:rPr>
              <w:t>Change presentation or dashboard controls.</w:t>
            </w:r>
          </w:p>
        </w:tc>
      </w:tr>
      <w:tr>
        <w:trPr>
          <w:cantSplit/>
        </w:trPr>
        <w:tc>
          <w:tcPr>
            <w:tcW w:type="dxa" w:w="3384"/>
            <w:vAlign w:val="center"/>
            <w:tcMar>
              <w:top w:w="95" w:type="dxa"/>
              <w:start w:w="110" w:type="dxa"/>
              <w:bottom w:w="95" w:type="dxa"/>
              <w:end w:w="110" w:type="dxa"/>
            </w:tcMar>
          </w:tcPr>
          <w:p>
            <w:pPr>
              <w:spacing w:after="0" w:line="240" w:lineRule="auto"/>
            </w:pPr>
            <w:r>
              <w:rPr>
                <w:rFonts w:ascii="Aptos" w:hAnsi="Aptos"/>
                <w:color w:val="202A33"/>
                <w:sz w:val="14"/>
              </w:rPr>
              <w:t>sql/*.sql and sql/run_investigation.py</w:t>
            </w:r>
          </w:p>
        </w:tc>
        <w:tc>
          <w:tcPr>
            <w:tcW w:type="dxa" w:w="4104"/>
            <w:vAlign w:val="center"/>
            <w:tcMar>
              <w:top w:w="95" w:type="dxa"/>
              <w:start w:w="110" w:type="dxa"/>
              <w:bottom w:w="95" w:type="dxa"/>
              <w:end w:w="110" w:type="dxa"/>
            </w:tcMar>
          </w:tcPr>
          <w:p>
            <w:pPr>
              <w:spacing w:after="0" w:line="240" w:lineRule="auto"/>
            </w:pPr>
            <w:r>
              <w:rPr>
                <w:rFonts w:ascii="Aptos" w:hAnsi="Aptos"/>
                <w:color w:val="202A33"/>
                <w:sz w:val="14"/>
              </w:rPr>
              <w:t>Six observable investigation queries and their runner.</w:t>
            </w:r>
          </w:p>
        </w:tc>
        <w:tc>
          <w:tcPr>
            <w:tcW w:type="dxa" w:w="2448"/>
            <w:vAlign w:val="center"/>
            <w:tcMar>
              <w:top w:w="95" w:type="dxa"/>
              <w:start w:w="110" w:type="dxa"/>
              <w:bottom w:w="95" w:type="dxa"/>
              <w:end w:w="110" w:type="dxa"/>
            </w:tcMar>
          </w:tcPr>
          <w:p>
            <w:pPr>
              <w:spacing w:after="0" w:line="240" w:lineRule="auto"/>
            </w:pPr>
            <w:r>
              <w:rPr>
                <w:rFonts w:ascii="Aptos" w:hAnsi="Aptos"/>
                <w:color w:val="202A33"/>
                <w:sz w:val="14"/>
              </w:rPr>
              <w:t>Ask or revise a specific SQL question.</w:t>
            </w:r>
          </w:p>
        </w:tc>
      </w:tr>
      <w:tr>
        <w:trPr>
          <w:cantSplit/>
        </w:trPr>
        <w:tc>
          <w:tcPr>
            <w:tcW w:type="dxa" w:w="3384"/>
            <w:vAlign w:val="center"/>
            <w:tcMar>
              <w:top w:w="95" w:type="dxa"/>
              <w:start w:w="110" w:type="dxa"/>
              <w:bottom w:w="95" w:type="dxa"/>
              <w:end w:w="110" w:type="dxa"/>
            </w:tcMar>
            <w:shd w:fill="EAF1F6" w:val="clear"/>
          </w:tcPr>
          <w:p>
            <w:pPr>
              <w:spacing w:after="0" w:line="240" w:lineRule="auto"/>
            </w:pPr>
            <w:r>
              <w:rPr>
                <w:rFonts w:ascii="Aptos" w:hAnsi="Aptos"/>
                <w:color w:val="202A33"/>
                <w:sz w:val="14"/>
              </w:rPr>
              <w:t>scripts/package_dataset.py</w:t>
            </w:r>
          </w:p>
        </w:tc>
        <w:tc>
          <w:tcPr>
            <w:tcW w:type="dxa" w:w="4104"/>
            <w:vAlign w:val="center"/>
            <w:tcMar>
              <w:top w:w="95" w:type="dxa"/>
              <w:start w:w="110" w:type="dxa"/>
              <w:bottom w:w="95" w:type="dxa"/>
              <w:end w:w="110" w:type="dxa"/>
            </w:tcMar>
            <w:shd w:fill="EAF1F6" w:val="clear"/>
          </w:tcPr>
          <w:p>
            <w:pPr>
              <w:spacing w:after="0" w:line="240" w:lineRule="auto"/>
            </w:pPr>
            <w:r>
              <w:rPr>
                <w:rFonts w:ascii="Aptos" w:hAnsi="Aptos"/>
                <w:color w:val="202A33"/>
                <w:sz w:val="14"/>
              </w:rPr>
              <w:t>Splits output CSVs and records checksums in a manifest.</w:t>
            </w:r>
          </w:p>
        </w:tc>
        <w:tc>
          <w:tcPr>
            <w:tcW w:type="dxa" w:w="2448"/>
            <w:vAlign w:val="center"/>
            <w:tcMar>
              <w:top w:w="95" w:type="dxa"/>
              <w:start w:w="110" w:type="dxa"/>
              <w:bottom w:w="95" w:type="dxa"/>
              <w:end w:w="110" w:type="dxa"/>
            </w:tcMar>
            <w:shd w:fill="EAF1F6" w:val="clear"/>
          </w:tcPr>
          <w:p>
            <w:pPr>
              <w:spacing w:after="0" w:line="240" w:lineRule="auto"/>
            </w:pPr>
            <w:r>
              <w:rPr>
                <w:rFonts w:ascii="Aptos" w:hAnsi="Aptos"/>
                <w:color w:val="202A33"/>
                <w:sz w:val="14"/>
              </w:rPr>
              <w:t>Prepare a new synthetic run for sharing.</w:t>
            </w:r>
          </w:p>
        </w:tc>
      </w:tr>
      <w:tr>
        <w:trPr>
          <w:cantSplit/>
        </w:trPr>
        <w:tc>
          <w:tcPr>
            <w:tcW w:type="dxa" w:w="3384"/>
            <w:vAlign w:val="center"/>
            <w:tcMar>
              <w:top w:w="95" w:type="dxa"/>
              <w:start w:w="110" w:type="dxa"/>
              <w:bottom w:w="95" w:type="dxa"/>
              <w:end w:w="110" w:type="dxa"/>
            </w:tcMar>
          </w:tcPr>
          <w:p>
            <w:pPr>
              <w:spacing w:after="0" w:line="240" w:lineRule="auto"/>
            </w:pPr>
            <w:r>
              <w:rPr>
                <w:rFonts w:ascii="Aptos" w:hAnsi="Aptos"/>
                <w:color w:val="202A33"/>
                <w:sz w:val="14"/>
              </w:rPr>
              <w:t>scripts/assemble_dataset.py</w:t>
            </w:r>
          </w:p>
        </w:tc>
        <w:tc>
          <w:tcPr>
            <w:tcW w:type="dxa" w:w="4104"/>
            <w:vAlign w:val="center"/>
            <w:tcMar>
              <w:top w:w="95" w:type="dxa"/>
              <w:start w:w="110" w:type="dxa"/>
              <w:bottom w:w="95" w:type="dxa"/>
              <w:end w:w="110" w:type="dxa"/>
            </w:tcMar>
          </w:tcPr>
          <w:p>
            <w:pPr>
              <w:spacing w:after="0" w:line="240" w:lineRule="auto"/>
            </w:pPr>
            <w:r>
              <w:rPr>
                <w:rFonts w:ascii="Aptos" w:hAnsi="Aptos"/>
                <w:color w:val="202A33"/>
                <w:sz w:val="14"/>
              </w:rPr>
              <w:t>Rejoins published CSV parts and verifies checksums.</w:t>
            </w:r>
          </w:p>
        </w:tc>
        <w:tc>
          <w:tcPr>
            <w:tcW w:type="dxa" w:w="2448"/>
            <w:vAlign w:val="center"/>
            <w:tcMar>
              <w:top w:w="95" w:type="dxa"/>
              <w:start w:w="110" w:type="dxa"/>
              <w:bottom w:w="95" w:type="dxa"/>
              <w:end w:w="110" w:type="dxa"/>
            </w:tcMar>
          </w:tcPr>
          <w:p>
            <w:pPr>
              <w:spacing w:after="0" w:line="240" w:lineRule="auto"/>
            </w:pPr>
            <w:r>
              <w:rPr>
                <w:rFonts w:ascii="Aptos" w:hAnsi="Aptos"/>
                <w:color w:val="202A33"/>
                <w:sz w:val="14"/>
              </w:rPr>
              <w:t>Restore the repository snapshot locally.</w:t>
            </w:r>
          </w:p>
        </w:tc>
      </w:tr>
      <w:tr>
        <w:trPr>
          <w:cantSplit/>
        </w:trPr>
        <w:tc>
          <w:tcPr>
            <w:tcW w:type="dxa" w:w="3384"/>
            <w:vAlign w:val="center"/>
            <w:tcMar>
              <w:top w:w="95" w:type="dxa"/>
              <w:start w:w="110" w:type="dxa"/>
              <w:bottom w:w="95" w:type="dxa"/>
              <w:end w:w="110" w:type="dxa"/>
            </w:tcMar>
            <w:shd w:fill="EAF1F6" w:val="clear"/>
          </w:tcPr>
          <w:p>
            <w:pPr>
              <w:spacing w:after="0" w:line="240" w:lineRule="auto"/>
            </w:pPr>
            <w:r>
              <w:rPr>
                <w:rFonts w:ascii="Aptos" w:hAnsi="Aptos"/>
                <w:color w:val="202A33"/>
                <w:sz w:val="14"/>
              </w:rPr>
              <w:t>notebooks/01_investigation.ipynb</w:t>
            </w:r>
          </w:p>
        </w:tc>
        <w:tc>
          <w:tcPr>
            <w:tcW w:type="dxa" w:w="4104"/>
            <w:vAlign w:val="center"/>
            <w:tcMar>
              <w:top w:w="95" w:type="dxa"/>
              <w:start w:w="110" w:type="dxa"/>
              <w:bottom w:w="95" w:type="dxa"/>
              <w:end w:w="110" w:type="dxa"/>
            </w:tcMar>
            <w:shd w:fill="EAF1F6" w:val="clear"/>
          </w:tcPr>
          <w:p>
            <w:pPr>
              <w:spacing w:after="0" w:line="240" w:lineRule="auto"/>
            </w:pPr>
            <w:r>
              <w:rPr>
                <w:rFonts w:ascii="Aptos" w:hAnsi="Aptos"/>
                <w:color w:val="202A33"/>
                <w:sz w:val="14"/>
              </w:rPr>
              <w:t>Guided table exploration without early label joins.</w:t>
            </w:r>
          </w:p>
        </w:tc>
        <w:tc>
          <w:tcPr>
            <w:tcW w:type="dxa" w:w="2448"/>
            <w:vAlign w:val="center"/>
            <w:tcMar>
              <w:top w:w="95" w:type="dxa"/>
              <w:start w:w="110" w:type="dxa"/>
              <w:bottom w:w="95" w:type="dxa"/>
              <w:end w:w="110" w:type="dxa"/>
            </w:tcMar>
            <w:shd w:fill="EAF1F6" w:val="clear"/>
          </w:tcPr>
          <w:p>
            <w:pPr>
              <w:spacing w:after="0" w:line="240" w:lineRule="auto"/>
            </w:pPr>
            <w:r>
              <w:rPr>
                <w:rFonts w:ascii="Aptos" w:hAnsi="Aptos"/>
                <w:color w:val="202A33"/>
                <w:sz w:val="14"/>
              </w:rPr>
              <w:t>Explore intermediate outputs interactively.</w:t>
            </w:r>
          </w:p>
        </w:tc>
      </w:tr>
    </w:tbl>
    <w:p>
      <w:pPr>
        <w:spacing w:after="40"/>
      </w:pPr>
    </w:p>
    <w:p>
      <w:pPr>
        <w:pStyle w:val="Heading1"/>
        <w:keepNext/>
        <w:spacing w:before="240" w:after="100"/>
      </w:pPr>
      <w:r>
        <w:rPr>
          <w:rFonts w:ascii="Aptos" w:hAnsi="Aptos"/>
          <w:b/>
          <w:color w:val="000000"/>
          <w:sz w:val="34"/>
        </w:rPr>
        <w:t>Appendix D  Troubleshooting and Next Experiments</w:t>
      </w:r>
    </w:p>
    <w:tbl>
      <w:tblPr>
        <w:tblW w:type="auto" w:w="0"/>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W w:w="9936" w:type="dxa"/>
      </w:tblPr>
      <w:tblGrid>
        <w:gridCol w:w="2880"/>
        <w:gridCol w:w="3384"/>
        <w:gridCol w:w="3672"/>
      </w:tblGrid>
      <w:tr>
        <w:trPr>
          <w:tblHeader w:val="true"/>
          <w:cantSplit/>
        </w:trPr>
        <w:tc>
          <w:tcPr>
            <w:tcW w:type="dxa" w:w="2880"/>
            <w:vAlign w:val="center"/>
            <w:shd w:fill="18364D" w:val="clear"/>
            <w:tcMar>
              <w:top w:w="95" w:type="dxa"/>
              <w:start w:w="110" w:type="dxa"/>
              <w:bottom w:w="95" w:type="dxa"/>
              <w:end w:w="110" w:type="dxa"/>
            </w:tcMar>
          </w:tcPr>
          <w:p>
            <w:pPr>
              <w:spacing w:after="0" w:line="240" w:lineRule="auto"/>
            </w:pPr>
            <w:r>
              <w:rPr>
                <w:rFonts w:ascii="Aptos" w:hAnsi="Aptos"/>
                <w:b/>
                <w:color w:val="FFFFFF"/>
                <w:sz w:val="14"/>
              </w:rPr>
              <w:t>Symptom</w:t>
            </w:r>
          </w:p>
        </w:tc>
        <w:tc>
          <w:tcPr>
            <w:tcW w:type="dxa" w:w="3384"/>
            <w:vAlign w:val="center"/>
            <w:shd w:fill="18364D" w:val="clear"/>
            <w:tcMar>
              <w:top w:w="95" w:type="dxa"/>
              <w:start w:w="110" w:type="dxa"/>
              <w:bottom w:w="95" w:type="dxa"/>
              <w:end w:w="110" w:type="dxa"/>
            </w:tcMar>
          </w:tcPr>
          <w:p>
            <w:pPr>
              <w:spacing w:after="0" w:line="240" w:lineRule="auto"/>
            </w:pPr>
            <w:r>
              <w:rPr>
                <w:rFonts w:ascii="Aptos" w:hAnsi="Aptos"/>
                <w:b/>
                <w:color w:val="FFFFFF"/>
                <w:sz w:val="14"/>
              </w:rPr>
              <w:t>Likely cause</w:t>
            </w:r>
          </w:p>
        </w:tc>
        <w:tc>
          <w:tcPr>
            <w:tcW w:type="dxa" w:w="3672"/>
            <w:vAlign w:val="center"/>
            <w:shd w:fill="18364D" w:val="clear"/>
            <w:tcMar>
              <w:top w:w="95" w:type="dxa"/>
              <w:start w:w="110" w:type="dxa"/>
              <w:bottom w:w="95" w:type="dxa"/>
              <w:end w:w="110" w:type="dxa"/>
            </w:tcMar>
          </w:tcPr>
          <w:p>
            <w:pPr>
              <w:spacing w:after="0" w:line="240" w:lineRule="auto"/>
            </w:pPr>
            <w:r>
              <w:rPr>
                <w:rFonts w:ascii="Aptos" w:hAnsi="Aptos"/>
                <w:b/>
                <w:color w:val="FFFFFF"/>
                <w:sz w:val="14"/>
              </w:rPr>
              <w:t>What to do</w:t>
            </w:r>
          </w:p>
        </w:tc>
      </w:tr>
      <w:tr>
        <w:trPr>
          <w:cantSplit/>
        </w:trPr>
        <w:tc>
          <w:tcPr>
            <w:tcW w:type="dxa" w:w="2880"/>
            <w:vAlign w:val="center"/>
            <w:tcMar>
              <w:top w:w="95" w:type="dxa"/>
              <w:start w:w="110" w:type="dxa"/>
              <w:bottom w:w="95" w:type="dxa"/>
              <w:end w:w="110" w:type="dxa"/>
            </w:tcMar>
          </w:tcPr>
          <w:p>
            <w:pPr>
              <w:spacing w:after="0" w:line="240" w:lineRule="auto"/>
            </w:pPr>
            <w:r>
              <w:rPr>
                <w:rFonts w:ascii="Aptos" w:hAnsi="Aptos"/>
                <w:color w:val="202A33"/>
                <w:sz w:val="14"/>
              </w:rPr>
              <w:t>Import cannot find src</w:t>
            </w:r>
          </w:p>
        </w:tc>
        <w:tc>
          <w:tcPr>
            <w:tcW w:type="dxa" w:w="3384"/>
            <w:vAlign w:val="center"/>
            <w:tcMar>
              <w:top w:w="95" w:type="dxa"/>
              <w:start w:w="110" w:type="dxa"/>
              <w:bottom w:w="95" w:type="dxa"/>
              <w:end w:w="110" w:type="dxa"/>
            </w:tcMar>
          </w:tcPr>
          <w:p>
            <w:pPr>
              <w:spacing w:after="0" w:line="240" w:lineRule="auto"/>
            </w:pPr>
            <w:r>
              <w:rPr>
                <w:rFonts w:ascii="Aptos" w:hAnsi="Aptos"/>
                <w:color w:val="202A33"/>
                <w:sz w:val="14"/>
              </w:rPr>
              <w:t>Python was run from a subfolder or as a direct file path.</w:t>
            </w:r>
          </w:p>
        </w:tc>
        <w:tc>
          <w:tcPr>
            <w:tcW w:type="dxa" w:w="3672"/>
            <w:vAlign w:val="center"/>
            <w:tcMar>
              <w:top w:w="95" w:type="dxa"/>
              <w:start w:w="110" w:type="dxa"/>
              <w:bottom w:w="95" w:type="dxa"/>
              <w:end w:w="110" w:type="dxa"/>
            </w:tcMar>
          </w:tcPr>
          <w:p>
            <w:pPr>
              <w:spacing w:after="0" w:line="240" w:lineRule="auto"/>
            </w:pPr>
            <w:r>
              <w:rPr>
                <w:rFonts w:ascii="Aptos" w:hAnsi="Aptos"/>
                <w:color w:val="202A33"/>
                <w:sz w:val="14"/>
              </w:rPr>
              <w:t>Return to the repository root and use python -m src.run_project.</w:t>
            </w:r>
          </w:p>
        </w:tc>
      </w:tr>
      <w:tr>
        <w:trPr>
          <w:cantSplit/>
        </w:trPr>
        <w:tc>
          <w:tcPr>
            <w:tcW w:type="dxa" w:w="2880"/>
            <w:vAlign w:val="center"/>
            <w:tcMar>
              <w:top w:w="95" w:type="dxa"/>
              <w:start w:w="110" w:type="dxa"/>
              <w:bottom w:w="95" w:type="dxa"/>
              <w:end w:w="110" w:type="dxa"/>
            </w:tcMar>
            <w:shd w:fill="EAF1F6" w:val="clear"/>
          </w:tcPr>
          <w:p>
            <w:pPr>
              <w:spacing w:after="0" w:line="240" w:lineRule="auto"/>
            </w:pPr>
            <w:r>
              <w:rPr>
                <w:rFonts w:ascii="Aptos" w:hAnsi="Aptos"/>
                <w:color w:val="202A33"/>
                <w:sz w:val="14"/>
              </w:rPr>
              <w:t>NumPy or pandas is missing</w:t>
            </w:r>
          </w:p>
        </w:tc>
        <w:tc>
          <w:tcPr>
            <w:tcW w:type="dxa" w:w="3384"/>
            <w:vAlign w:val="center"/>
            <w:tcMar>
              <w:top w:w="95" w:type="dxa"/>
              <w:start w:w="110" w:type="dxa"/>
              <w:bottom w:w="95" w:type="dxa"/>
              <w:end w:w="110" w:type="dxa"/>
            </w:tcMar>
            <w:shd w:fill="EAF1F6" w:val="clear"/>
          </w:tcPr>
          <w:p>
            <w:pPr>
              <w:spacing w:after="0" w:line="240" w:lineRule="auto"/>
            </w:pPr>
            <w:r>
              <w:rPr>
                <w:rFonts w:ascii="Aptos" w:hAnsi="Aptos"/>
                <w:color w:val="202A33"/>
                <w:sz w:val="14"/>
              </w:rPr>
              <w:t>The active interpreter does not have project dependencies.</w:t>
            </w:r>
          </w:p>
        </w:tc>
        <w:tc>
          <w:tcPr>
            <w:tcW w:type="dxa" w:w="3672"/>
            <w:vAlign w:val="center"/>
            <w:tcMar>
              <w:top w:w="95" w:type="dxa"/>
              <w:start w:w="110" w:type="dxa"/>
              <w:bottom w:w="95" w:type="dxa"/>
              <w:end w:w="110" w:type="dxa"/>
            </w:tcMar>
            <w:shd w:fill="EAF1F6" w:val="clear"/>
          </w:tcPr>
          <w:p>
            <w:pPr>
              <w:spacing w:after="0" w:line="240" w:lineRule="auto"/>
            </w:pPr>
            <w:r>
              <w:rPr>
                <w:rFonts w:ascii="Aptos" w:hAnsi="Aptos"/>
                <w:color w:val="202A33"/>
                <w:sz w:val="14"/>
              </w:rPr>
              <w:t>Activate .venv, then install requirements.txt in that same interpreter.</w:t>
            </w:r>
          </w:p>
        </w:tc>
      </w:tr>
      <w:tr>
        <w:trPr>
          <w:cantSplit/>
        </w:trPr>
        <w:tc>
          <w:tcPr>
            <w:tcW w:type="dxa" w:w="2880"/>
            <w:vAlign w:val="center"/>
            <w:tcMar>
              <w:top w:w="95" w:type="dxa"/>
              <w:start w:w="110" w:type="dxa"/>
              <w:bottom w:w="95" w:type="dxa"/>
              <w:end w:w="110" w:type="dxa"/>
            </w:tcMar>
          </w:tcPr>
          <w:p>
            <w:pPr>
              <w:spacing w:after="0" w:line="240" w:lineRule="auto"/>
            </w:pPr>
            <w:r>
              <w:rPr>
                <w:rFonts w:ascii="Aptos" w:hAnsi="Aptos"/>
                <w:color w:val="202A33"/>
                <w:sz w:val="14"/>
              </w:rPr>
              <w:t>SQL runner says database is absent</w:t>
            </w:r>
          </w:p>
        </w:tc>
        <w:tc>
          <w:tcPr>
            <w:tcW w:type="dxa" w:w="3384"/>
            <w:vAlign w:val="center"/>
            <w:tcMar>
              <w:top w:w="95" w:type="dxa"/>
              <w:start w:w="110" w:type="dxa"/>
              <w:bottom w:w="95" w:type="dxa"/>
              <w:end w:w="110" w:type="dxa"/>
            </w:tcMar>
          </w:tcPr>
          <w:p>
            <w:pPr>
              <w:spacing w:after="0" w:line="240" w:lineRule="auto"/>
            </w:pPr>
            <w:r>
              <w:rPr>
                <w:rFonts w:ascii="Aptos" w:hAnsi="Aptos"/>
                <w:color w:val="202A33"/>
                <w:sz w:val="14"/>
              </w:rPr>
              <w:t>No full project run has created the SQLite file at its default path.</w:t>
            </w:r>
          </w:p>
        </w:tc>
        <w:tc>
          <w:tcPr>
            <w:tcW w:type="dxa" w:w="3672"/>
            <w:vAlign w:val="center"/>
            <w:tcMar>
              <w:top w:w="95" w:type="dxa"/>
              <w:start w:w="110" w:type="dxa"/>
              <w:bottom w:w="95" w:type="dxa"/>
              <w:end w:w="110" w:type="dxa"/>
            </w:tcMar>
          </w:tcPr>
          <w:p>
            <w:pPr>
              <w:spacing w:after="0" w:line="240" w:lineRule="auto"/>
            </w:pPr>
            <w:r>
              <w:rPr>
                <w:rFonts w:ascii="Aptos" w:hAnsi="Aptos"/>
                <w:color w:val="202A33"/>
                <w:sz w:val="14"/>
              </w:rPr>
              <w:t>Run python -m src.run_project or pass the desired path with --database.</w:t>
            </w:r>
          </w:p>
        </w:tc>
      </w:tr>
      <w:tr>
        <w:trPr>
          <w:cantSplit/>
        </w:trPr>
        <w:tc>
          <w:tcPr>
            <w:tcW w:type="dxa" w:w="2880"/>
            <w:vAlign w:val="center"/>
            <w:tcMar>
              <w:top w:w="95" w:type="dxa"/>
              <w:start w:w="110" w:type="dxa"/>
              <w:bottom w:w="95" w:type="dxa"/>
              <w:end w:w="110" w:type="dxa"/>
            </w:tcMar>
            <w:shd w:fill="EAF1F6" w:val="clear"/>
          </w:tcPr>
          <w:p>
            <w:pPr>
              <w:spacing w:after="0" w:line="240" w:lineRule="auto"/>
            </w:pPr>
            <w:r>
              <w:rPr>
                <w:rFonts w:ascii="Aptos" w:hAnsi="Aptos"/>
                <w:color w:val="202A33"/>
                <w:sz w:val="14"/>
              </w:rPr>
              <w:t>Run stops because fraud is missing in one period</w:t>
            </w:r>
          </w:p>
        </w:tc>
        <w:tc>
          <w:tcPr>
            <w:tcW w:type="dxa" w:w="3384"/>
            <w:vAlign w:val="center"/>
            <w:tcMar>
              <w:top w:w="95" w:type="dxa"/>
              <w:start w:w="110" w:type="dxa"/>
              <w:bottom w:w="95" w:type="dxa"/>
              <w:end w:w="110" w:type="dxa"/>
            </w:tcMar>
            <w:shd w:fill="EAF1F6" w:val="clear"/>
          </w:tcPr>
          <w:p>
            <w:pPr>
              <w:spacing w:after="0" w:line="240" w:lineRule="auto"/>
            </w:pPr>
            <w:r>
              <w:rPr>
                <w:rFonts w:ascii="Aptos" w:hAnsi="Aptos"/>
                <w:color w:val="202A33"/>
                <w:sz w:val="14"/>
              </w:rPr>
              <w:t>A short or unusual date horizon did not put examples on both sides of the split.</w:t>
            </w:r>
          </w:p>
        </w:tc>
        <w:tc>
          <w:tcPr>
            <w:tcW w:type="dxa" w:w="3672"/>
            <w:vAlign w:val="center"/>
            <w:tcMar>
              <w:top w:w="95" w:type="dxa"/>
              <w:start w:w="110" w:type="dxa"/>
              <w:bottom w:w="95" w:type="dxa"/>
              <w:end w:w="110" w:type="dxa"/>
            </w:tcMar>
            <w:shd w:fill="EAF1F6" w:val="clear"/>
          </w:tcPr>
          <w:p>
            <w:pPr>
              <w:spacing w:after="0" w:line="240" w:lineRule="auto"/>
            </w:pPr>
            <w:r>
              <w:rPr>
                <w:rFonts w:ascii="Aptos" w:hAnsi="Aptos"/>
                <w:color w:val="202A33"/>
                <w:sz w:val="14"/>
              </w:rPr>
              <w:t>Increase --days; both training history and holdout need planted examples.</w:t>
            </w:r>
          </w:p>
        </w:tc>
      </w:tr>
      <w:tr>
        <w:trPr>
          <w:cantSplit/>
        </w:trPr>
        <w:tc>
          <w:tcPr>
            <w:tcW w:type="dxa" w:w="2880"/>
            <w:vAlign w:val="center"/>
            <w:tcMar>
              <w:top w:w="95" w:type="dxa"/>
              <w:start w:w="110" w:type="dxa"/>
              <w:bottom w:w="95" w:type="dxa"/>
              <w:end w:w="110" w:type="dxa"/>
            </w:tcMar>
          </w:tcPr>
          <w:p>
            <w:pPr>
              <w:spacing w:after="0" w:line="240" w:lineRule="auto"/>
            </w:pPr>
            <w:r>
              <w:rPr>
                <w:rFonts w:ascii="Aptos" w:hAnsi="Aptos"/>
                <w:color w:val="202A33"/>
                <w:sz w:val="14"/>
              </w:rPr>
              <w:t>Restoring snapshot gives a checksum error</w:t>
            </w:r>
          </w:p>
        </w:tc>
        <w:tc>
          <w:tcPr>
            <w:tcW w:type="dxa" w:w="3384"/>
            <w:vAlign w:val="center"/>
            <w:tcMar>
              <w:top w:w="95" w:type="dxa"/>
              <w:start w:w="110" w:type="dxa"/>
              <w:bottom w:w="95" w:type="dxa"/>
              <w:end w:w="110" w:type="dxa"/>
            </w:tcMar>
          </w:tcPr>
          <w:p>
            <w:pPr>
              <w:spacing w:after="0" w:line="240" w:lineRule="auto"/>
            </w:pPr>
            <w:r>
              <w:rPr>
                <w:rFonts w:ascii="Aptos" w:hAnsi="Aptos"/>
                <w:color w:val="202A33"/>
                <w:sz w:val="14"/>
              </w:rPr>
              <w:t>A part is missing, edited, truncated, or from a different manifest.</w:t>
            </w:r>
          </w:p>
        </w:tc>
        <w:tc>
          <w:tcPr>
            <w:tcW w:type="dxa" w:w="3672"/>
            <w:vAlign w:val="center"/>
            <w:tcMar>
              <w:top w:w="95" w:type="dxa"/>
              <w:start w:w="110" w:type="dxa"/>
              <w:bottom w:w="95" w:type="dxa"/>
              <w:end w:w="110" w:type="dxa"/>
            </w:tcMar>
          </w:tcPr>
          <w:p>
            <w:pPr>
              <w:spacing w:after="0" w:line="240" w:lineRule="auto"/>
            </w:pPr>
            <w:r>
              <w:rPr>
                <w:rFonts w:ascii="Aptos" w:hAnsi="Aptos"/>
                <w:color w:val="202A33"/>
                <w:sz w:val="14"/>
              </w:rPr>
              <w:t>Re-fetch all listed parts together; do not edit published parts by hand.</w:t>
            </w:r>
          </w:p>
        </w:tc>
      </w:tr>
      <w:tr>
        <w:trPr>
          <w:cantSplit/>
        </w:trPr>
        <w:tc>
          <w:tcPr>
            <w:tcW w:type="dxa" w:w="2880"/>
            <w:vAlign w:val="center"/>
            <w:tcMar>
              <w:top w:w="95" w:type="dxa"/>
              <w:start w:w="110" w:type="dxa"/>
              <w:bottom w:w="95" w:type="dxa"/>
              <w:end w:w="110" w:type="dxa"/>
            </w:tcMar>
            <w:shd w:fill="EAF1F6" w:val="clear"/>
          </w:tcPr>
          <w:p>
            <w:pPr>
              <w:spacing w:after="0" w:line="240" w:lineRule="auto"/>
            </w:pPr>
            <w:r>
              <w:rPr>
                <w:rFonts w:ascii="Aptos" w:hAnsi="Aptos"/>
                <w:color w:val="202A33"/>
                <w:sz w:val="14"/>
              </w:rPr>
              <w:t>Dashboard does not reflect a parameter change</w:t>
            </w:r>
          </w:p>
        </w:tc>
        <w:tc>
          <w:tcPr>
            <w:tcW w:type="dxa" w:w="3384"/>
            <w:vAlign w:val="center"/>
            <w:tcMar>
              <w:top w:w="95" w:type="dxa"/>
              <w:start w:w="110" w:type="dxa"/>
              <w:bottom w:w="95" w:type="dxa"/>
              <w:end w:w="110" w:type="dxa"/>
            </w:tcMar>
            <w:shd w:fill="EAF1F6" w:val="clear"/>
          </w:tcPr>
          <w:p>
            <w:pPr>
              <w:spacing w:after="0" w:line="240" w:lineRule="auto"/>
            </w:pPr>
            <w:r>
              <w:rPr>
                <w:rFonts w:ascii="Aptos" w:hAnsi="Aptos"/>
                <w:color w:val="202A33"/>
                <w:sz w:val="14"/>
              </w:rPr>
              <w:t>The dashboard uses generated scenario outcomes from the last full run.</w:t>
            </w:r>
          </w:p>
        </w:tc>
        <w:tc>
          <w:tcPr>
            <w:tcW w:type="dxa" w:w="3672"/>
            <w:vAlign w:val="center"/>
            <w:tcMar>
              <w:top w:w="95" w:type="dxa"/>
              <w:start w:w="110" w:type="dxa"/>
              <w:bottom w:w="95" w:type="dxa"/>
              <w:end w:w="110" w:type="dxa"/>
            </w:tcMar>
            <w:shd w:fill="EAF1F6" w:val="clear"/>
          </w:tcPr>
          <w:p>
            <w:pPr>
              <w:spacing w:after="0" w:line="240" w:lineRule="auto"/>
            </w:pPr>
            <w:r>
              <w:rPr>
                <w:rFonts w:ascii="Aptos" w:hAnsi="Aptos"/>
                <w:color w:val="202A33"/>
                <w:sz w:val="14"/>
              </w:rPr>
              <w:t>Rerun the pipeline; the browser selector only filters precomputed results.</w:t>
            </w:r>
          </w:p>
        </w:tc>
      </w:tr>
      <w:tr>
        <w:trPr>
          <w:cantSplit/>
        </w:trPr>
        <w:tc>
          <w:tcPr>
            <w:tcW w:type="dxa" w:w="2880"/>
            <w:vAlign w:val="center"/>
            <w:tcMar>
              <w:top w:w="95" w:type="dxa"/>
              <w:start w:w="110" w:type="dxa"/>
              <w:bottom w:w="95" w:type="dxa"/>
              <w:end w:w="110" w:type="dxa"/>
            </w:tcMar>
          </w:tcPr>
          <w:p>
            <w:pPr>
              <w:spacing w:after="0" w:line="240" w:lineRule="auto"/>
            </w:pPr>
            <w:r>
              <w:rPr>
                <w:rFonts w:ascii="Aptos" w:hAnsi="Aptos"/>
                <w:color w:val="202A33"/>
                <w:sz w:val="14"/>
              </w:rPr>
              <w:t>An experiment overwrote the last CSVs</w:t>
            </w:r>
          </w:p>
        </w:tc>
        <w:tc>
          <w:tcPr>
            <w:tcW w:type="dxa" w:w="3384"/>
            <w:vAlign w:val="center"/>
            <w:tcMar>
              <w:top w:w="95" w:type="dxa"/>
              <w:start w:w="110" w:type="dxa"/>
              <w:bottom w:w="95" w:type="dxa"/>
              <w:end w:w="110" w:type="dxa"/>
            </w:tcMar>
          </w:tcPr>
          <w:p>
            <w:pPr>
              <w:spacing w:after="0" w:line="240" w:lineRule="auto"/>
            </w:pPr>
            <w:r>
              <w:rPr>
                <w:rFonts w:ascii="Aptos" w:hAnsi="Aptos"/>
                <w:color w:val="202A33"/>
                <w:sz w:val="14"/>
              </w:rPr>
              <w:t>The default run writes into data/synthetic/run/.</w:t>
            </w:r>
          </w:p>
        </w:tc>
        <w:tc>
          <w:tcPr>
            <w:tcW w:type="dxa" w:w="3672"/>
            <w:vAlign w:val="center"/>
            <w:tcMar>
              <w:top w:w="95" w:type="dxa"/>
              <w:start w:w="110" w:type="dxa"/>
              <w:bottom w:w="95" w:type="dxa"/>
              <w:end w:w="110" w:type="dxa"/>
            </w:tcMar>
          </w:tcPr>
          <w:p>
            <w:pPr>
              <w:spacing w:after="0" w:line="240" w:lineRule="auto"/>
            </w:pPr>
            <w:r>
              <w:rPr>
                <w:rFonts w:ascii="Aptos" w:hAnsi="Aptos"/>
                <w:color w:val="202A33"/>
                <w:sz w:val="14"/>
              </w:rPr>
              <w:t>Choose a separate --output-dir before the next experiment.</w:t>
            </w:r>
          </w:p>
        </w:tc>
      </w:tr>
    </w:tbl>
    <w:p>
      <w:pPr>
        <w:spacing w:after="40"/>
      </w:pPr>
    </w:p>
    <w:p>
      <w:pPr>
        <w:pStyle w:val="Heading2"/>
        <w:keepNext/>
        <w:spacing w:before="160" w:after="100"/>
      </w:pPr>
      <w:r>
        <w:rPr>
          <w:rFonts w:ascii="Aptos" w:hAnsi="Aptos"/>
          <w:b/>
          <w:color w:val="000000"/>
          <w:sz w:val="25"/>
        </w:rPr>
        <w:t>Suggested next investigations</w:t>
      </w:r>
    </w:p>
    <w:p>
      <w:pPr>
        <w:pStyle w:val="ListNumber"/>
        <w:spacing w:after="80" w:line="252" w:lineRule="auto"/>
      </w:pPr>
      <w:r>
        <w:rPr>
          <w:rFonts w:ascii="Aptos" w:hAnsi="Aptos"/>
          <w:color w:val="202A33"/>
          <w:sz w:val="20"/>
        </w:rPr>
        <w:t>Vary fraud prevalence and burst timing, then compare capture, false declines, and PR-AUC on the same chronological protocol.</w:t>
      </w:r>
    </w:p>
    <w:p>
      <w:pPr>
        <w:pStyle w:val="ListNumber"/>
        <w:spacing w:after="80" w:line="252" w:lineRule="auto"/>
      </w:pPr>
      <w:r>
        <w:rPr>
          <w:rFonts w:ascii="Aptos" w:hAnsi="Aptos"/>
          <w:color w:val="202A33"/>
          <w:sz w:val="20"/>
        </w:rPr>
        <w:t>Change one unit-cost assumption at a time and identify the values at which the preferred strategy changes.</w:t>
      </w:r>
    </w:p>
    <w:p>
      <w:pPr>
        <w:pStyle w:val="ListNumber"/>
        <w:spacing w:after="80" w:line="252" w:lineRule="auto"/>
      </w:pPr>
      <w:r>
        <w:rPr>
          <w:rFonts w:ascii="Aptos" w:hAnsi="Aptos"/>
          <w:color w:val="202A33"/>
          <w:sz w:val="20"/>
        </w:rPr>
        <w:t>Inspect false-decline and review rates by segment, region, and KYC band; investigate small group counts before interpreting rates.</w:t>
      </w:r>
    </w:p>
    <w:p>
      <w:pPr>
        <w:pStyle w:val="ListNumber"/>
        <w:spacing w:after="80" w:line="252" w:lineRule="auto"/>
      </w:pPr>
      <w:r>
        <w:rPr>
          <w:rFonts w:ascii="Aptos" w:hAnsi="Aptos"/>
          <w:color w:val="202A33"/>
          <w:sz w:val="20"/>
        </w:rPr>
        <w:t>Add one tree-based baseline and compare it with rules and logistic using the same train dates, future holdout, capacity, and cost model.</w:t>
      </w:r>
    </w:p>
    <w:p>
      <w:pPr>
        <w:pStyle w:val="ListNumber"/>
        <w:spacing w:after="80" w:line="252" w:lineRule="auto"/>
      </w:pPr>
      <w:r>
        <w:rPr>
          <w:rFonts w:ascii="Aptos" w:hAnsi="Aptos"/>
          <w:color w:val="202A33"/>
          <w:sz w:val="20"/>
        </w:rPr>
        <w:t>When data size makes SQLite cumbersome, benchmark DuckDB and Parquet on identical tables and queries before migrating storage.</w:t>
      </w:r>
    </w:p>
    <w:p>
      <w:pPr>
        <w:keepLines w:val="0"/>
        <w:spacing w:after="120" w:before="0" w:line="259" w:lineRule="auto"/>
      </w:pPr>
      <w:r>
        <w:rPr>
          <w:rFonts w:ascii="Aptos" w:hAnsi="Aptos"/>
          <w:color w:val="202A33"/>
          <w:sz w:val="20"/>
        </w:rPr>
        <w:t>For a portfolio presentation, lead with the operating problem, show how observable behavior creates signals, explain the holdout result under stated fictional economics, and state why the result does not transfer to a real processor without validation.</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36471"/>
        <w:sz w:val="16"/>
      </w:rPr>
      <w:t xml:space="preserve">TrustHold Project Guide  |  </w:t>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A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TrustHold Project Guide</dc:title>
  <dc:subject>Complete explanation of the TrustHold synthetic fraud decision project</dc:subject>
  <dc:creator>python-docx</dc:creator>
  <cp:keywords>TrustHold, fraud, synthetic data, SQLite, model governance</cp:keywords>
  <dc:description>generated by python-docx</dc:description>
  <cp:lastModifiedBy/>
  <cp:revision>1</cp:revision>
  <dcterms:created xsi:type="dcterms:W3CDTF">2013-12-23T23:15:00Z</dcterms:created>
  <dcterms:modified xsi:type="dcterms:W3CDTF">2013-12-23T23:15:00Z</dcterms:modified>
  <cp:category/>
</cp:coreProperties>
</file>