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AF44C" w14:textId="1E2BCD10" w:rsidR="00E82D73" w:rsidRDefault="00E724AB">
      <w:r>
        <w:t>Lacour &amp; green</w:t>
      </w:r>
    </w:p>
    <w:p w14:paraId="5D00B79C"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1. Overall concern level</w:t>
      </w:r>
    </w:p>
    <w:p w14:paraId="7F90BD4D"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Moderate concern</w:t>
      </w:r>
      <w:r w:rsidRPr="00E724AB">
        <w:rPr>
          <w:rFonts w:ascii="Times New Roman" w:eastAsia="Times New Roman" w:hAnsi="Times New Roman" w:cs="Times New Roman"/>
          <w:kern w:val="0"/>
          <w14:ligatures w14:val="none"/>
        </w:rPr>
        <w:br/>
        <w:t xml:space="preserve">The provided text describes a strong randomized placebo-controlled field experiment, but the main claims are unusually broad and depend heavily on supplementary tables, follow-up experiments, attrition checks, and design assumptions that are not fully visible in the provided excerpt. </w:t>
      </w:r>
    </w:p>
    <w:p w14:paraId="6EBB26CF"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2. Study design and statistical evidence</w:t>
      </w:r>
    </w:p>
    <w:p w14:paraId="1CCCCC5C"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The study is described as a </w:t>
      </w:r>
      <w:r w:rsidRPr="00E724AB">
        <w:rPr>
          <w:rFonts w:ascii="Times New Roman" w:eastAsia="Times New Roman" w:hAnsi="Times New Roman" w:cs="Times New Roman"/>
          <w:b/>
          <w:bCs/>
          <w:kern w:val="0"/>
          <w14:ligatures w14:val="none"/>
        </w:rPr>
        <w:t>randomized placebo-controlled field experiment</w:t>
      </w:r>
      <w:r w:rsidRPr="00E724AB">
        <w:rPr>
          <w:rFonts w:ascii="Times New Roman" w:eastAsia="Times New Roman" w:hAnsi="Times New Roman" w:cs="Times New Roman"/>
          <w:kern w:val="0"/>
          <w14:ligatures w14:val="none"/>
        </w:rPr>
        <w:t>. Households were randomly assigned to receive a same-sex marriage script or a recycling placebo script, delivered by gay or straight canvassers, with outcomes measured through online panel surveys at multiple follow-up waves.</w:t>
      </w:r>
    </w:p>
    <w:p w14:paraId="77C8B451"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The statistical evidence provided includes:</w:t>
      </w:r>
    </w:p>
    <w:p w14:paraId="69BA91E4" w14:textId="77777777" w:rsidR="00E724AB" w:rsidRPr="00E724AB" w:rsidRDefault="00E724AB" w:rsidP="00E724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Reported sample sizes for canvassers and voters: gay canvassers </w:t>
      </w:r>
      <m:oMath>
        <m:r>
          <w:rPr>
            <w:rFonts w:ascii="Cambria Math" w:eastAsia="Times New Roman" w:hAnsi="Cambria Math" w:cs="Times New Roman"/>
            <w:kern w:val="0"/>
            <w14:ligatures w14:val="none"/>
          </w:rPr>
          <m:t>n=22</m:t>
        </m:r>
      </m:oMath>
      <w:r w:rsidRPr="00E724AB">
        <w:rPr>
          <w:rFonts w:ascii="Times New Roman" w:eastAsia="Times New Roman" w:hAnsi="Times New Roman" w:cs="Times New Roman"/>
          <w:kern w:val="0"/>
          <w14:ligatures w14:val="none"/>
        </w:rPr>
        <w:t xml:space="preserve">, straight canvassers </w:t>
      </w:r>
      <m:oMath>
        <m:r>
          <w:rPr>
            <w:rFonts w:ascii="Cambria Math" w:eastAsia="Times New Roman" w:hAnsi="Cambria Math" w:cs="Times New Roman"/>
            <w:kern w:val="0"/>
            <w14:ligatures w14:val="none"/>
          </w:rPr>
          <m:t>n=19</m:t>
        </m:r>
      </m:oMath>
      <w:r w:rsidRPr="00E724AB">
        <w:rPr>
          <w:rFonts w:ascii="Times New Roman" w:eastAsia="Times New Roman" w:hAnsi="Times New Roman" w:cs="Times New Roman"/>
          <w:kern w:val="0"/>
          <w14:ligatures w14:val="none"/>
        </w:rPr>
        <w:t xml:space="preserve">, voters </w:t>
      </w:r>
      <m:oMath>
        <m:r>
          <w:rPr>
            <w:rFonts w:ascii="Cambria Math" w:eastAsia="Times New Roman" w:hAnsi="Cambria Math" w:cs="Times New Roman"/>
            <w:kern w:val="0"/>
            <w14:ligatures w14:val="none"/>
          </w:rPr>
          <m:t>n=972</m:t>
        </m:r>
      </m:oMath>
      <w:r w:rsidRPr="00E724AB">
        <w:rPr>
          <w:rFonts w:ascii="Times New Roman" w:eastAsia="Times New Roman" w:hAnsi="Times New Roman" w:cs="Times New Roman"/>
          <w:kern w:val="0"/>
          <w14:ligatures w14:val="none"/>
        </w:rPr>
        <w:t xml:space="preserve">. </w:t>
      </w:r>
    </w:p>
    <w:p w14:paraId="357BCB72" w14:textId="77777777" w:rsidR="00E724AB" w:rsidRPr="00E724AB" w:rsidRDefault="00E724AB" w:rsidP="00E724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Mean changes in support for same-sex marriage on a 1–5 scale. </w:t>
      </w:r>
    </w:p>
    <w:p w14:paraId="6938924D" w14:textId="77777777" w:rsidR="00E724AB" w:rsidRPr="00E724AB" w:rsidRDefault="00E724AB" w:rsidP="00E724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Standard errors in Table 1. </w:t>
      </w:r>
    </w:p>
    <w:p w14:paraId="3A519586" w14:textId="77777777" w:rsidR="00E724AB" w:rsidRPr="00E724AB" w:rsidRDefault="00E724AB" w:rsidP="00E724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Reported p-values, often very small, such as </w:t>
      </w:r>
      <m:oMath>
        <m:r>
          <w:rPr>
            <w:rFonts w:ascii="Cambria Math" w:eastAsia="Times New Roman" w:hAnsi="Cambria Math" w:cs="Times New Roman"/>
            <w:kern w:val="0"/>
            <w14:ligatures w14:val="none"/>
          </w:rPr>
          <m:t>P&lt;0.0001</m:t>
        </m:r>
      </m:oMath>
      <w:r w:rsidRPr="00E724AB">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P=0.0002</m:t>
        </m:r>
      </m:oMath>
      <w:r w:rsidRPr="00E724AB">
        <w:rPr>
          <w:rFonts w:ascii="Times New Roman" w:eastAsia="Times New Roman" w:hAnsi="Times New Roman" w:cs="Times New Roman"/>
          <w:kern w:val="0"/>
          <w14:ligatures w14:val="none"/>
        </w:rPr>
        <w:t xml:space="preserve">. </w:t>
      </w:r>
    </w:p>
    <w:p w14:paraId="66E211B1" w14:textId="77777777" w:rsidR="00E724AB" w:rsidRPr="00E724AB" w:rsidRDefault="00E724AB" w:rsidP="00E724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95% bootstrap confidence intervals shown visually in Figure 1. </w:t>
      </w:r>
    </w:p>
    <w:p w14:paraId="09CD8F3E" w14:textId="77777777" w:rsidR="00E724AB" w:rsidRPr="00E724AB" w:rsidRDefault="00E724AB" w:rsidP="00E724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Claims that balance, contact rates, and attrition were checked in supplementary tables. </w:t>
      </w:r>
    </w:p>
    <w:p w14:paraId="2DFCEC21"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3. Main statistical concerns</w:t>
      </w:r>
    </w:p>
    <w:p w14:paraId="5AFB8714" w14:textId="77777777" w:rsidR="00E724AB" w:rsidRPr="00E724AB" w:rsidRDefault="00E724AB" w:rsidP="00E72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Strong causal language depends on design details not fully shown here.</w:t>
      </w:r>
      <w:r w:rsidRPr="00E724AB">
        <w:rPr>
          <w:rFonts w:ascii="Times New Roman" w:eastAsia="Times New Roman" w:hAnsi="Times New Roman" w:cs="Times New Roman"/>
          <w:kern w:val="0"/>
          <w14:ligatures w14:val="none"/>
        </w:rPr>
        <w:br/>
        <w:t xml:space="preserve">The randomized design supports causal inference in principle, but the excerpt relies on supplementary tables for randomization balance, contact rates, attrition, and response counts. These are central to judging whether the causal estimates are credible. </w:t>
      </w:r>
    </w:p>
    <w:p w14:paraId="7E79E2FA" w14:textId="77777777" w:rsidR="00E724AB" w:rsidRPr="00E724AB" w:rsidRDefault="00E724AB" w:rsidP="00E72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Effect sizes are reported, but confidence intervals are mostly not numerically reported.</w:t>
      </w:r>
      <w:r w:rsidRPr="00E724AB">
        <w:rPr>
          <w:rFonts w:ascii="Times New Roman" w:eastAsia="Times New Roman" w:hAnsi="Times New Roman" w:cs="Times New Roman"/>
          <w:kern w:val="0"/>
          <w14:ligatures w14:val="none"/>
        </w:rPr>
        <w:br/>
        <w:t xml:space="preserve">The text reports large mean effects, such as 0.41, 0.77, and 0.56 scale-point changes, and Figure 1 displays 95% bootstrap confidence intervals. However, numerical confidence intervals are not provided in the main text table, only standard errors. </w:t>
      </w:r>
    </w:p>
    <w:p w14:paraId="2505936C" w14:textId="77777777" w:rsidR="00E724AB" w:rsidRPr="00E724AB" w:rsidRDefault="00E724AB" w:rsidP="00E72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Multiple outcomes and repeated follow-ups raise multiplicity concerns.</w:t>
      </w:r>
      <w:r w:rsidRPr="00E724AB">
        <w:rPr>
          <w:rFonts w:ascii="Times New Roman" w:eastAsia="Times New Roman" w:hAnsi="Times New Roman" w:cs="Times New Roman"/>
          <w:kern w:val="0"/>
          <w14:ligatures w14:val="none"/>
        </w:rPr>
        <w:br/>
        <w:t xml:space="preserve">The study evaluates direct effects, secondhand effects, gay versus straight canvassers, multiple time points, support for same-sex marriage, and feeling thermometer ratings. The provided text reports many small p-values, but it does not clearly explain whether any multiple-testing adjustment was used. </w:t>
      </w:r>
    </w:p>
    <w:p w14:paraId="61F560C9" w14:textId="77777777" w:rsidR="00E724AB" w:rsidRPr="00E724AB" w:rsidRDefault="00E724AB" w:rsidP="00E72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Attrition and denominator clarity need verification.</w:t>
      </w:r>
      <w:r w:rsidRPr="00E724AB">
        <w:rPr>
          <w:rFonts w:ascii="Times New Roman" w:eastAsia="Times New Roman" w:hAnsi="Times New Roman" w:cs="Times New Roman"/>
          <w:kern w:val="0"/>
          <w14:ligatures w14:val="none"/>
        </w:rPr>
        <w:br/>
        <w:t xml:space="preserve">Table 1 gives different </w:t>
      </w:r>
      <m:oMath>
        <m:r>
          <w:rPr>
            <w:rFonts w:ascii="Cambria Math" w:eastAsia="Times New Roman" w:hAnsi="Cambria Math" w:cs="Times New Roman"/>
            <w:kern w:val="0"/>
            <w14:ligatures w14:val="none"/>
          </w:rPr>
          <m:t>n</m:t>
        </m:r>
      </m:oMath>
      <w:r w:rsidRPr="00E724AB">
        <w:rPr>
          <w:rFonts w:ascii="Times New Roman" w:eastAsia="Times New Roman" w:hAnsi="Times New Roman" w:cs="Times New Roman"/>
          <w:kern w:val="0"/>
          <w14:ligatures w14:val="none"/>
        </w:rPr>
        <w:t xml:space="preserve">values at 5 days and 9 months, suggesting loss to follow-up. The </w:t>
      </w:r>
      <w:r w:rsidRPr="00E724AB">
        <w:rPr>
          <w:rFonts w:ascii="Times New Roman" w:eastAsia="Times New Roman" w:hAnsi="Times New Roman" w:cs="Times New Roman"/>
          <w:kern w:val="0"/>
          <w14:ligatures w14:val="none"/>
        </w:rPr>
        <w:lastRenderedPageBreak/>
        <w:t xml:space="preserve">text says attrition was similar across conditions, but the full attrition pattern and whether attrition was related to outcomes should be checked. </w:t>
      </w:r>
    </w:p>
    <w:p w14:paraId="1D8EF4F6" w14:textId="77777777" w:rsidR="00E724AB" w:rsidRPr="00E724AB" w:rsidRDefault="00E724AB" w:rsidP="00E72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Spillover claims require especially careful support.</w:t>
      </w:r>
      <w:r w:rsidRPr="00E724AB">
        <w:rPr>
          <w:rFonts w:ascii="Times New Roman" w:eastAsia="Times New Roman" w:hAnsi="Times New Roman" w:cs="Times New Roman"/>
          <w:kern w:val="0"/>
          <w14:ligatures w14:val="none"/>
        </w:rPr>
        <w:br/>
        <w:t xml:space="preserve">The within-household transmission claim is interesting, but it depends on assumptions that housemates were not directly exposed and that household communication explains the observed changes. The text describes precautions, but the mechanism is still partly inferential. </w:t>
      </w:r>
    </w:p>
    <w:p w14:paraId="1058311A" w14:textId="77777777" w:rsidR="00E724AB" w:rsidRPr="00E724AB" w:rsidRDefault="00E724AB" w:rsidP="00E72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Some language may overstate generalizability.</w:t>
      </w:r>
      <w:r w:rsidRPr="00E724AB">
        <w:rPr>
          <w:rFonts w:ascii="Times New Roman" w:eastAsia="Times New Roman" w:hAnsi="Times New Roman" w:cs="Times New Roman"/>
          <w:kern w:val="0"/>
          <w14:ligatures w14:val="none"/>
        </w:rPr>
        <w:br/>
        <w:t xml:space="preserve">The sample is restricted to Southern California registered voters in certain precincts, households with at least two registered voters, and detached dwellings. Broad claims about “contact with minorities” or “cascade of opinion change” may go beyond the sampled setting. </w:t>
      </w:r>
    </w:p>
    <w:p w14:paraId="22605A9C"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4. Claims needing more cautious wording</w:t>
      </w:r>
    </w:p>
    <w:p w14:paraId="6580D3EF" w14:textId="77777777" w:rsidR="00E724AB" w:rsidRPr="00E724AB" w:rsidRDefault="00E724AB" w:rsidP="00E72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“Contact with minorities coupled with discussion of issues pertinent to them is capable of producing a cascade of opinion change.”</w:t>
      </w:r>
      <w:r w:rsidRPr="00E724AB">
        <w:rPr>
          <w:rFonts w:ascii="Times New Roman" w:eastAsia="Times New Roman" w:hAnsi="Times New Roman" w:cs="Times New Roman"/>
          <w:kern w:val="0"/>
          <w14:ligatures w14:val="none"/>
        </w:rPr>
        <w:br/>
        <w:t xml:space="preserve">Better: “In this study setting, conversations with gay canvassers about same-sex marriage were associated with persistent changes in reported attitudes and apparent within-household spillovers.” </w:t>
      </w:r>
    </w:p>
    <w:p w14:paraId="1A4F59AF" w14:textId="77777777" w:rsidR="00E724AB" w:rsidRPr="00E724AB" w:rsidRDefault="00E724AB" w:rsidP="00E72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“These large, persistent, and contagious effects were confirmed by a follow-up experiment.”</w:t>
      </w:r>
      <w:r w:rsidRPr="00E724AB">
        <w:rPr>
          <w:rFonts w:ascii="Times New Roman" w:eastAsia="Times New Roman" w:hAnsi="Times New Roman" w:cs="Times New Roman"/>
          <w:kern w:val="0"/>
          <w14:ligatures w14:val="none"/>
        </w:rPr>
        <w:br/>
        <w:t xml:space="preserve">Better: “A follow-up experiment is reported to have found similar effects; the details should be evaluated in the supplement.” </w:t>
      </w:r>
    </w:p>
    <w:p w14:paraId="71304A97" w14:textId="77777777" w:rsidR="00E724AB" w:rsidRPr="00E724AB" w:rsidRDefault="00E724AB" w:rsidP="00E72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“The canvassing treatment in effect transformed Midwesterners into New Englanders.”</w:t>
      </w:r>
      <w:r w:rsidRPr="00E724AB">
        <w:rPr>
          <w:rFonts w:ascii="Times New Roman" w:eastAsia="Times New Roman" w:hAnsi="Times New Roman" w:cs="Times New Roman"/>
          <w:kern w:val="0"/>
          <w14:ligatures w14:val="none"/>
        </w:rPr>
        <w:br/>
        <w:t xml:space="preserve">This is rhetorically vivid but statistically imprecise. It compares mean scale scores across populations and may overstate the interpretation. </w:t>
      </w:r>
    </w:p>
    <w:p w14:paraId="64AA6FA6" w14:textId="77777777" w:rsidR="00E724AB" w:rsidRPr="00E724AB" w:rsidRDefault="00E724AB" w:rsidP="00E72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“Our experimental results demonstrate that active contact is capable of producing a cascade of enduring opinion change.”</w:t>
      </w:r>
      <w:r w:rsidRPr="00E724AB">
        <w:rPr>
          <w:rFonts w:ascii="Times New Roman" w:eastAsia="Times New Roman" w:hAnsi="Times New Roman" w:cs="Times New Roman"/>
          <w:kern w:val="0"/>
          <w14:ligatures w14:val="none"/>
        </w:rPr>
        <w:br/>
        <w:t xml:space="preserve">Better: “The experimental results provide evidence, in this sample and context, of enduring attitude change and possible within-household transmission.” </w:t>
      </w:r>
    </w:p>
    <w:p w14:paraId="798A299D"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5. What to check in the full paper or supplement</w:t>
      </w:r>
    </w:p>
    <w:p w14:paraId="446B64F8" w14:textId="77777777" w:rsidR="00E724AB" w:rsidRPr="00E724AB" w:rsidRDefault="00E724AB" w:rsidP="00E72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Exact randomization procedure and whether assignment was fully concealed. </w:t>
      </w:r>
    </w:p>
    <w:p w14:paraId="670D5E60" w14:textId="77777777" w:rsidR="00E724AB" w:rsidRPr="00E724AB" w:rsidRDefault="00E724AB" w:rsidP="00E72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Full response counts by condition and wave. </w:t>
      </w:r>
    </w:p>
    <w:p w14:paraId="06EA7261" w14:textId="77777777" w:rsidR="00E724AB" w:rsidRPr="00E724AB" w:rsidRDefault="00E724AB" w:rsidP="00E72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Attrition rates and whether attrition differed by treatment group or baseline attitude. </w:t>
      </w:r>
    </w:p>
    <w:p w14:paraId="6B329D1F" w14:textId="77777777" w:rsidR="00E724AB" w:rsidRPr="00E724AB" w:rsidRDefault="00E724AB" w:rsidP="00E72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Balance tables for baseline demographics and baseline opinions. </w:t>
      </w:r>
    </w:p>
    <w:p w14:paraId="0FC29CB6" w14:textId="77777777" w:rsidR="00E724AB" w:rsidRPr="00E724AB" w:rsidRDefault="00E724AB" w:rsidP="00E72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Full numerical confidence intervals, not only p-values and standard errors. </w:t>
      </w:r>
    </w:p>
    <w:p w14:paraId="38029B8E" w14:textId="77777777" w:rsidR="00E724AB" w:rsidRPr="00E724AB" w:rsidRDefault="00E724AB" w:rsidP="00E72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standard errors were clustered appropriately for all household-level analyses. </w:t>
      </w:r>
    </w:p>
    <w:p w14:paraId="57165B38" w14:textId="77777777" w:rsidR="00E724AB" w:rsidRPr="00E724AB" w:rsidRDefault="00E724AB" w:rsidP="00E72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multiple comparisons were adjusted or at least acknowledged. </w:t>
      </w:r>
    </w:p>
    <w:p w14:paraId="0FB65BDF" w14:textId="77777777" w:rsidR="00E724AB" w:rsidRPr="00E724AB" w:rsidRDefault="00E724AB" w:rsidP="00E72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Details of the follow-up experiment, including sample size, randomization, outcomes, and attrition. </w:t>
      </w:r>
    </w:p>
    <w:p w14:paraId="61EF3C65" w14:textId="77777777" w:rsidR="00E724AB" w:rsidRPr="00E724AB" w:rsidRDefault="00E724AB" w:rsidP="00E72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Exact definition of “successful contact” and sensitivity analyses excluding the 11 incomplete contacts. </w:t>
      </w:r>
    </w:p>
    <w:p w14:paraId="31ECEC59" w14:textId="77777777" w:rsidR="00E724AB" w:rsidRPr="00E724AB" w:rsidRDefault="00E724AB" w:rsidP="00E72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lastRenderedPageBreak/>
        <w:t xml:space="preserve">Whether the online survey panel recruitment and referral incentives could affect representativeness. </w:t>
      </w:r>
    </w:p>
    <w:p w14:paraId="6933DD42"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6. Final assessment</w:t>
      </w:r>
    </w:p>
    <w:p w14:paraId="05BC1F65"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The main conclusion is partially supported by the provided text but should be treated cautiously.</w:t>
      </w:r>
      <w:r w:rsidRPr="00E724AB">
        <w:rPr>
          <w:rFonts w:ascii="Times New Roman" w:eastAsia="Times New Roman" w:hAnsi="Times New Roman" w:cs="Times New Roman"/>
          <w:kern w:val="0"/>
          <w14:ligatures w14:val="none"/>
        </w:rPr>
        <w:t xml:space="preserve"> The randomized placebo-controlled design is a strong feature, and the reported effects are large and statistically precise. However, the strongest claims about persistence, contagion, and generalizable “cascade” effects rely on supplementary details and multiple comparisons that are not fully assessable from the excerpt alone.</w:t>
      </w:r>
    </w:p>
    <w:p w14:paraId="282C255D" w14:textId="77777777" w:rsidR="00E724AB" w:rsidRDefault="00E724AB"/>
    <w:p w14:paraId="0DFAC937" w14:textId="77777777" w:rsidR="00E724AB" w:rsidRDefault="00E724AB" w:rsidP="00E724AB">
      <w:pPr>
        <w:spacing w:after="0" w:line="240" w:lineRule="auto"/>
        <w:rPr>
          <w:rFonts w:ascii="Times New Roman" w:eastAsia="Times New Roman" w:hAnsi="Times New Roman" w:cs="Times New Roman"/>
          <w:kern w:val="0"/>
          <w14:ligatures w14:val="none"/>
        </w:rPr>
      </w:pPr>
      <w:proofErr w:type="spellStart"/>
      <w:r w:rsidRPr="00DD2D00">
        <w:rPr>
          <w:rFonts w:ascii="Times New Roman" w:eastAsia="Times New Roman" w:hAnsi="Times New Roman" w:cs="Times New Roman"/>
          <w:b/>
          <w:bCs/>
          <w:kern w:val="0"/>
          <w14:ligatures w14:val="none"/>
        </w:rPr>
        <w:t>Wansink</w:t>
      </w:r>
      <w:proofErr w:type="spellEnd"/>
      <w:r w:rsidRPr="00DD2D00">
        <w:rPr>
          <w:rFonts w:ascii="Times New Roman" w:eastAsia="Times New Roman" w:hAnsi="Times New Roman" w:cs="Times New Roman"/>
          <w:b/>
          <w:bCs/>
          <w:kern w:val="0"/>
          <w14:ligatures w14:val="none"/>
        </w:rPr>
        <w:t xml:space="preserve"> Bottomless Bowls</w:t>
      </w:r>
      <w:r w:rsidRPr="00DD2D00">
        <w:rPr>
          <w:rFonts w:ascii="Times New Roman" w:eastAsia="Times New Roman" w:hAnsi="Times New Roman" w:cs="Times New Roman"/>
          <w:kern w:val="0"/>
          <w14:ligatures w14:val="none"/>
        </w:rPr>
        <w:t xml:space="preserve"> </w:t>
      </w:r>
    </w:p>
    <w:p w14:paraId="487FFE4C" w14:textId="77777777" w:rsidR="00E724AB" w:rsidRDefault="00E724AB"/>
    <w:p w14:paraId="3F0BAB19"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1. Overall concern level</w:t>
      </w:r>
    </w:p>
    <w:p w14:paraId="3DAFA710"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Low-to-Moderate concern</w:t>
      </w:r>
    </w:p>
    <w:p w14:paraId="16A8E782"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The study uses an experimental design with random assignment and reports a clear difference in actual soup consumption between conditions. However, the sample is small, the setting is artificial, and several broader claims about overeating, satiety, and real-world portion control need more cautious interpretation. </w:t>
      </w:r>
    </w:p>
    <w:p w14:paraId="68C61FC5"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2. Study design and statistical evidence</w:t>
      </w:r>
    </w:p>
    <w:p w14:paraId="13BDB597"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This is a </w:t>
      </w:r>
      <w:r w:rsidRPr="00E724AB">
        <w:rPr>
          <w:rFonts w:ascii="Times New Roman" w:eastAsia="Times New Roman" w:hAnsi="Times New Roman" w:cs="Times New Roman"/>
          <w:b/>
          <w:bCs/>
          <w:kern w:val="0"/>
          <w14:ligatures w14:val="none"/>
        </w:rPr>
        <w:t>between-subject experimental study</w:t>
      </w:r>
      <w:r w:rsidRPr="00E724AB">
        <w:rPr>
          <w:rFonts w:ascii="Times New Roman" w:eastAsia="Times New Roman" w:hAnsi="Times New Roman" w:cs="Times New Roman"/>
          <w:kern w:val="0"/>
          <w14:ligatures w14:val="none"/>
        </w:rPr>
        <w:t xml:space="preserve"> with 54 participants randomly assigned to one of two conditions:</w:t>
      </w:r>
    </w:p>
    <w:p w14:paraId="6FEC2058" w14:textId="77777777" w:rsidR="00E724AB" w:rsidRPr="00E724AB" w:rsidRDefault="00E724AB" w:rsidP="00E724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Accurate visual cue:</w:t>
      </w:r>
      <w:r w:rsidRPr="00E724AB">
        <w:rPr>
          <w:rFonts w:ascii="Times New Roman" w:eastAsia="Times New Roman" w:hAnsi="Times New Roman" w:cs="Times New Roman"/>
          <w:kern w:val="0"/>
          <w14:ligatures w14:val="none"/>
        </w:rPr>
        <w:t xml:space="preserve"> normal soup bowl </w:t>
      </w:r>
    </w:p>
    <w:p w14:paraId="50A1BC8A" w14:textId="77777777" w:rsidR="00E724AB" w:rsidRPr="00E724AB" w:rsidRDefault="00E724AB" w:rsidP="00E724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Biased visual cue:</w:t>
      </w:r>
      <w:r w:rsidRPr="00E724AB">
        <w:rPr>
          <w:rFonts w:ascii="Times New Roman" w:eastAsia="Times New Roman" w:hAnsi="Times New Roman" w:cs="Times New Roman"/>
          <w:kern w:val="0"/>
          <w14:ligatures w14:val="none"/>
        </w:rPr>
        <w:t xml:space="preserve"> self-refilling soup bowl </w:t>
      </w:r>
    </w:p>
    <w:p w14:paraId="67CADB9D"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The main outcome was actual soup intake, measured in ounces and calories. Participants in the self-refilling bowl condition ate more soup than those in the normal bowl condition: </w:t>
      </w:r>
      <w:r w:rsidRPr="00E724AB">
        <w:rPr>
          <w:rFonts w:ascii="Times New Roman" w:eastAsia="Times New Roman" w:hAnsi="Times New Roman" w:cs="Times New Roman"/>
          <w:b/>
          <w:bCs/>
          <w:kern w:val="0"/>
          <w14:ligatures w14:val="none"/>
        </w:rPr>
        <w:t>14.7 ± 8.4 oz vs. 8.5 ± 6.1 oz</w:t>
      </w:r>
      <w:r w:rsidRPr="00E724AB">
        <w:rPr>
          <w:rFonts w:ascii="Times New Roman" w:eastAsia="Times New Roman" w:hAnsi="Times New Roman" w:cs="Times New Roman"/>
          <w:kern w:val="0"/>
          <w14:ligatures w14:val="none"/>
        </w:rPr>
        <w:t xml:space="preserve">, reported as </w:t>
      </w:r>
      <w:r w:rsidRPr="00E724AB">
        <w:rPr>
          <w:rFonts w:ascii="Times New Roman" w:eastAsia="Times New Roman" w:hAnsi="Times New Roman" w:cs="Times New Roman"/>
          <w:b/>
          <w:bCs/>
          <w:kern w:val="0"/>
          <w14:ligatures w14:val="none"/>
        </w:rPr>
        <w:t>F(1,52) = 8.99, p &lt; 0.01</w:t>
      </w:r>
      <w:r w:rsidRPr="00E724AB">
        <w:rPr>
          <w:rFonts w:ascii="Times New Roman" w:eastAsia="Times New Roman" w:hAnsi="Times New Roman" w:cs="Times New Roman"/>
          <w:kern w:val="0"/>
          <w14:ligatures w14:val="none"/>
        </w:rPr>
        <w:t xml:space="preserve">. The paper also reports estimated intake, self-reported satiety, consumption monitoring, and correlations between actual and estimated consumption. </w:t>
      </w:r>
    </w:p>
    <w:p w14:paraId="6C57FBEF"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3. Main statistical concerns</w:t>
      </w:r>
    </w:p>
    <w:p w14:paraId="0669013B" w14:textId="77777777" w:rsidR="00E724AB" w:rsidRPr="00E724AB" w:rsidRDefault="00E724AB" w:rsidP="00E724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Small sample size and limited generalizability.</w:t>
      </w:r>
      <w:r w:rsidRPr="00E724AB">
        <w:rPr>
          <w:rFonts w:ascii="Times New Roman" w:eastAsia="Times New Roman" w:hAnsi="Times New Roman" w:cs="Times New Roman"/>
          <w:kern w:val="0"/>
          <w14:ligatures w14:val="none"/>
        </w:rPr>
        <w:br/>
        <w:t xml:space="preserve">The study includes only 54 participants, mostly young adults from a large Midwestern </w:t>
      </w:r>
      <w:r w:rsidRPr="00E724AB">
        <w:rPr>
          <w:rFonts w:ascii="Times New Roman" w:eastAsia="Times New Roman" w:hAnsi="Times New Roman" w:cs="Times New Roman"/>
          <w:kern w:val="0"/>
          <w14:ligatures w14:val="none"/>
        </w:rPr>
        <w:lastRenderedPageBreak/>
        <w:t xml:space="preserve">university. The findings may not generalize to older adults, children, clinical populations, or real-world eating settings. </w:t>
      </w:r>
    </w:p>
    <w:p w14:paraId="0560DC39" w14:textId="77777777" w:rsidR="00E724AB" w:rsidRPr="00E724AB" w:rsidRDefault="00E724AB" w:rsidP="00E724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Effect size is understandable, but confidence intervals are not reported.</w:t>
      </w:r>
      <w:r w:rsidRPr="00E724AB">
        <w:rPr>
          <w:rFonts w:ascii="Times New Roman" w:eastAsia="Times New Roman" w:hAnsi="Times New Roman" w:cs="Times New Roman"/>
          <w:kern w:val="0"/>
          <w14:ligatures w14:val="none"/>
        </w:rPr>
        <w:br/>
        <w:t xml:space="preserve">The paper reports </w:t>
      </w:r>
      <w:proofErr w:type="gramStart"/>
      <w:r w:rsidRPr="00E724AB">
        <w:rPr>
          <w:rFonts w:ascii="Times New Roman" w:eastAsia="Times New Roman" w:hAnsi="Times New Roman" w:cs="Times New Roman"/>
          <w:kern w:val="0"/>
          <w14:ligatures w14:val="none"/>
        </w:rPr>
        <w:t>means</w:t>
      </w:r>
      <w:proofErr w:type="gramEnd"/>
      <w:r w:rsidRPr="00E724AB">
        <w:rPr>
          <w:rFonts w:ascii="Times New Roman" w:eastAsia="Times New Roman" w:hAnsi="Times New Roman" w:cs="Times New Roman"/>
          <w:kern w:val="0"/>
          <w14:ligatures w14:val="none"/>
        </w:rPr>
        <w:t xml:space="preserve">, standard deviations, F tests, and p-values, but not confidence intervals for the main intake difference. A confidence interval would help assess the precision of the estimated 73% increase. </w:t>
      </w:r>
    </w:p>
    <w:p w14:paraId="6FED3B7D" w14:textId="77777777" w:rsidR="00E724AB" w:rsidRPr="00E724AB" w:rsidRDefault="00E724AB" w:rsidP="00E724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Satiety and hunger measures are self-reported after the meal.</w:t>
      </w:r>
      <w:r w:rsidRPr="00E724AB">
        <w:rPr>
          <w:rFonts w:ascii="Times New Roman" w:eastAsia="Times New Roman" w:hAnsi="Times New Roman" w:cs="Times New Roman"/>
          <w:kern w:val="0"/>
          <w14:ligatures w14:val="none"/>
        </w:rPr>
        <w:br/>
        <w:t xml:space="preserve">The study uses retrospective premeal hunger and </w:t>
      </w:r>
      <w:proofErr w:type="spellStart"/>
      <w:r w:rsidRPr="00E724AB">
        <w:rPr>
          <w:rFonts w:ascii="Times New Roman" w:eastAsia="Times New Roman" w:hAnsi="Times New Roman" w:cs="Times New Roman"/>
          <w:kern w:val="0"/>
          <w14:ligatures w14:val="none"/>
        </w:rPr>
        <w:t>postmeal</w:t>
      </w:r>
      <w:proofErr w:type="spellEnd"/>
      <w:r w:rsidRPr="00E724AB">
        <w:rPr>
          <w:rFonts w:ascii="Times New Roman" w:eastAsia="Times New Roman" w:hAnsi="Times New Roman" w:cs="Times New Roman"/>
          <w:kern w:val="0"/>
          <w14:ligatures w14:val="none"/>
        </w:rPr>
        <w:t xml:space="preserve"> satiety ratings. Because premeal hunger was not measured before eating, the covariate may be less reliable. </w:t>
      </w:r>
    </w:p>
    <w:p w14:paraId="7B1020DE" w14:textId="77777777" w:rsidR="00E724AB" w:rsidRPr="00E724AB" w:rsidRDefault="00E724AB" w:rsidP="00E724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The setting may influence behavior.</w:t>
      </w:r>
      <w:r w:rsidRPr="00E724AB">
        <w:rPr>
          <w:rFonts w:ascii="Times New Roman" w:eastAsia="Times New Roman" w:hAnsi="Times New Roman" w:cs="Times New Roman"/>
          <w:kern w:val="0"/>
          <w14:ligatures w14:val="none"/>
        </w:rPr>
        <w:br/>
        <w:t xml:space="preserve">Participants ate a soup-only lunch in groups of four, with unusual bowls and an experimental setup. The authors acknowledge that few people eat soup-only meals with three others, which limits ecological validity. </w:t>
      </w:r>
    </w:p>
    <w:p w14:paraId="34C9EB98" w14:textId="77777777" w:rsidR="00E724AB" w:rsidRPr="00E724AB" w:rsidRDefault="00E724AB" w:rsidP="00E724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The conclusion may overstate physiological interpretation.</w:t>
      </w:r>
      <w:r w:rsidRPr="00E724AB">
        <w:rPr>
          <w:rFonts w:ascii="Times New Roman" w:eastAsia="Times New Roman" w:hAnsi="Times New Roman" w:cs="Times New Roman"/>
          <w:kern w:val="0"/>
          <w14:ligatures w14:val="none"/>
        </w:rPr>
        <w:br/>
        <w:t xml:space="preserve">The phrase “people use their eyes to count calories and not their stomachs” is memorable, but it overstates what the data prove. The study shows that visual cues influenced intake and estimated intake in this setting; it does not fully establish that physiological satiety cues were ignored. </w:t>
      </w:r>
    </w:p>
    <w:p w14:paraId="4160054E"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4. Claims needing more cautious wording</w:t>
      </w:r>
    </w:p>
    <w:p w14:paraId="1BB84812" w14:textId="77777777" w:rsidR="00E724AB" w:rsidRPr="00E724AB" w:rsidRDefault="00E724AB" w:rsidP="00E724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“People use their eyes to count calories and not their stomachs.”</w:t>
      </w:r>
      <w:r w:rsidRPr="00E724AB">
        <w:rPr>
          <w:rFonts w:ascii="Times New Roman" w:eastAsia="Times New Roman" w:hAnsi="Times New Roman" w:cs="Times New Roman"/>
          <w:kern w:val="0"/>
          <w14:ligatures w14:val="none"/>
        </w:rPr>
        <w:br/>
        <w:t xml:space="preserve">Better: “In this setting, participants appeared to rely more on visual cues than on actual intake when estimating consumption and reporting satiety.” </w:t>
      </w:r>
    </w:p>
    <w:p w14:paraId="07B1A000" w14:textId="77777777" w:rsidR="00E724AB" w:rsidRPr="00E724AB" w:rsidRDefault="00E724AB" w:rsidP="00E724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“Salient, accurate visual cues can play an important role in reducing unintentional overeating.”</w:t>
      </w:r>
      <w:r w:rsidRPr="00E724AB">
        <w:rPr>
          <w:rFonts w:ascii="Times New Roman" w:eastAsia="Times New Roman" w:hAnsi="Times New Roman" w:cs="Times New Roman"/>
          <w:kern w:val="0"/>
          <w14:ligatures w14:val="none"/>
        </w:rPr>
        <w:br/>
        <w:t xml:space="preserve">Better: “The findings suggest that accurate visual cues may help reduce unintentional overeating, but this should be tested in more naturalistic settings.” </w:t>
      </w:r>
    </w:p>
    <w:p w14:paraId="4453E216" w14:textId="77777777" w:rsidR="00E724AB" w:rsidRPr="00E724AB" w:rsidRDefault="00E724AB" w:rsidP="00E724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“This was unaffected by BMI.”</w:t>
      </w:r>
      <w:r w:rsidRPr="00E724AB">
        <w:rPr>
          <w:rFonts w:ascii="Times New Roman" w:eastAsia="Times New Roman" w:hAnsi="Times New Roman" w:cs="Times New Roman"/>
          <w:kern w:val="0"/>
          <w14:ligatures w14:val="none"/>
        </w:rPr>
        <w:br/>
        <w:t xml:space="preserve">Better: “Within this sample, BMI did not significantly moderate the effect, but the study may not have had enough BMI variation or power to draw strong conclusions.” </w:t>
      </w:r>
    </w:p>
    <w:p w14:paraId="611547C6" w14:textId="77777777" w:rsidR="00E724AB" w:rsidRPr="00E724AB" w:rsidRDefault="00E724AB" w:rsidP="00E724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“These findings show that people </w:t>
      </w:r>
      <w:proofErr w:type="gramStart"/>
      <w:r w:rsidRPr="00E724AB">
        <w:rPr>
          <w:rFonts w:ascii="Times New Roman" w:eastAsia="Times New Roman" w:hAnsi="Times New Roman" w:cs="Times New Roman"/>
          <w:kern w:val="0"/>
          <w14:ligatures w14:val="none"/>
        </w:rPr>
        <w:t>can</w:t>
      </w:r>
      <w:proofErr w:type="gramEnd"/>
      <w:r w:rsidRPr="00E724AB">
        <w:rPr>
          <w:rFonts w:ascii="Times New Roman" w:eastAsia="Times New Roman" w:hAnsi="Times New Roman" w:cs="Times New Roman"/>
          <w:kern w:val="0"/>
          <w14:ligatures w14:val="none"/>
        </w:rPr>
        <w:t xml:space="preserve"> </w:t>
      </w:r>
      <w:proofErr w:type="spellStart"/>
      <w:r w:rsidRPr="00E724AB">
        <w:rPr>
          <w:rFonts w:ascii="Times New Roman" w:eastAsia="Times New Roman" w:hAnsi="Times New Roman" w:cs="Times New Roman"/>
          <w:kern w:val="0"/>
          <w14:ligatures w14:val="none"/>
        </w:rPr>
        <w:t>overrely</w:t>
      </w:r>
      <w:proofErr w:type="spellEnd"/>
      <w:r w:rsidRPr="00E724AB">
        <w:rPr>
          <w:rFonts w:ascii="Times New Roman" w:eastAsia="Times New Roman" w:hAnsi="Times New Roman" w:cs="Times New Roman"/>
          <w:kern w:val="0"/>
          <w14:ligatures w14:val="none"/>
        </w:rPr>
        <w:t xml:space="preserve"> on visual consumption cues.”</w:t>
      </w:r>
      <w:r w:rsidRPr="00E724AB">
        <w:rPr>
          <w:rFonts w:ascii="Times New Roman" w:eastAsia="Times New Roman" w:hAnsi="Times New Roman" w:cs="Times New Roman"/>
          <w:kern w:val="0"/>
          <w14:ligatures w14:val="none"/>
        </w:rPr>
        <w:br/>
        <w:t xml:space="preserve">Better: “These findings provide experimental evidence that participants in this study relied heavily on visual consumption cues.” </w:t>
      </w:r>
    </w:p>
    <w:p w14:paraId="086F5259"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5. What to check in the full paper or supplement</w:t>
      </w:r>
    </w:p>
    <w:p w14:paraId="31B6C486" w14:textId="77777777" w:rsidR="00E724AB" w:rsidRPr="00E724AB" w:rsidRDefault="00E724AB" w:rsidP="00E724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Exact randomization procedure and whether allocation was concealed. </w:t>
      </w:r>
    </w:p>
    <w:p w14:paraId="4B9E1841" w14:textId="77777777" w:rsidR="00E724AB" w:rsidRPr="00E724AB" w:rsidRDefault="00E724AB" w:rsidP="00E724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participants in the self-refilling condition detected the manipulation. </w:t>
      </w:r>
    </w:p>
    <w:p w14:paraId="0B154BB6" w14:textId="77777777" w:rsidR="00E724AB" w:rsidRPr="00E724AB" w:rsidRDefault="00E724AB" w:rsidP="00E724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the groups were balanced on hunger, sex, BMI, age, and eating habits. </w:t>
      </w:r>
    </w:p>
    <w:p w14:paraId="4B062D47" w14:textId="77777777" w:rsidR="00E724AB" w:rsidRPr="00E724AB" w:rsidRDefault="00E724AB" w:rsidP="00E724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the analysis accounted for participants being run in groups of four. </w:t>
      </w:r>
    </w:p>
    <w:p w14:paraId="4703E46B" w14:textId="77777777" w:rsidR="00E724AB" w:rsidRPr="00E724AB" w:rsidRDefault="00E724AB" w:rsidP="00E724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Confidence intervals for the main intake effect. </w:t>
      </w:r>
    </w:p>
    <w:p w14:paraId="7B5EBEB9" w14:textId="77777777" w:rsidR="00E724AB" w:rsidRPr="00E724AB" w:rsidRDefault="00E724AB" w:rsidP="00E724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Sensitivity analyses excluding participants who suspected the study purpose. </w:t>
      </w:r>
    </w:p>
    <w:p w14:paraId="7CC7C7F3" w14:textId="77777777" w:rsidR="00E724AB" w:rsidRPr="00E724AB" w:rsidRDefault="00E724AB" w:rsidP="00E724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conclusions remain similar using nonparametric tests, given the small sample and large standard deviations. </w:t>
      </w:r>
    </w:p>
    <w:p w14:paraId="174EA227" w14:textId="77777777" w:rsidR="00E724AB" w:rsidRPr="00E724AB" w:rsidRDefault="00E724AB" w:rsidP="00E724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lastRenderedPageBreak/>
        <w:t xml:space="preserve">Whether the findings replicate with other foods, full meals, and naturalistic eating settings. </w:t>
      </w:r>
    </w:p>
    <w:p w14:paraId="3EAF62CC"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6. Final assessment</w:t>
      </w:r>
    </w:p>
    <w:p w14:paraId="696E0187"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The main conclusion appears generally supported, but some broader interpretations should be softened.</w:t>
      </w:r>
      <w:r w:rsidRPr="00E724AB">
        <w:rPr>
          <w:rFonts w:ascii="Times New Roman" w:eastAsia="Times New Roman" w:hAnsi="Times New Roman" w:cs="Times New Roman"/>
          <w:kern w:val="0"/>
          <w14:ligatures w14:val="none"/>
        </w:rPr>
        <w:t xml:space="preserve"> The provided evidence supports the claim that biased visual cues increased soup intake without increasing perceived intake or satiety in this experiment. However, claims about general overeating behavior, BMI invariance, and real-world portion-control implications require more cautious wording and additional evidence.</w:t>
      </w:r>
    </w:p>
    <w:p w14:paraId="70719691" w14:textId="77777777" w:rsidR="00E724AB" w:rsidRDefault="00E724AB" w:rsidP="00E724AB">
      <w:pPr>
        <w:spacing w:after="0" w:line="240" w:lineRule="auto"/>
        <w:rPr>
          <w:rFonts w:ascii="Times New Roman" w:eastAsia="Times New Roman" w:hAnsi="Times New Roman" w:cs="Times New Roman"/>
          <w:b/>
          <w:bCs/>
          <w:kern w:val="0"/>
          <w14:ligatures w14:val="none"/>
        </w:rPr>
      </w:pPr>
    </w:p>
    <w:p w14:paraId="1E4AD6A1" w14:textId="7692952B" w:rsidR="00E724AB" w:rsidRDefault="00E724AB" w:rsidP="00E724AB">
      <w:pPr>
        <w:spacing w:after="0" w:line="240" w:lineRule="auto"/>
        <w:rPr>
          <w:rFonts w:ascii="Times New Roman" w:eastAsia="Times New Roman" w:hAnsi="Times New Roman" w:cs="Times New Roman"/>
          <w:kern w:val="0"/>
          <w14:ligatures w14:val="none"/>
        </w:rPr>
      </w:pPr>
      <w:r w:rsidRPr="00DD2D00">
        <w:rPr>
          <w:rFonts w:ascii="Times New Roman" w:eastAsia="Times New Roman" w:hAnsi="Times New Roman" w:cs="Times New Roman"/>
          <w:b/>
          <w:bCs/>
          <w:kern w:val="0"/>
          <w14:ligatures w14:val="none"/>
        </w:rPr>
        <w:t>Reinhart &amp; Rogoff</w:t>
      </w:r>
      <w:r w:rsidRPr="00DD2D00">
        <w:rPr>
          <w:rFonts w:ascii="Times New Roman" w:eastAsia="Times New Roman" w:hAnsi="Times New Roman" w:cs="Times New Roman"/>
          <w:kern w:val="0"/>
          <w14:ligatures w14:val="none"/>
        </w:rPr>
        <w:t xml:space="preserve"> </w:t>
      </w:r>
    </w:p>
    <w:p w14:paraId="383D880C" w14:textId="77777777" w:rsidR="00E724AB" w:rsidRDefault="00E724AB">
      <w:pPr>
        <w:rPr>
          <w:b/>
          <w:bCs/>
        </w:rPr>
      </w:pPr>
    </w:p>
    <w:p w14:paraId="10C6DB53"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1. Overall concern level</w:t>
      </w:r>
    </w:p>
    <w:p w14:paraId="37D8CC67"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Moderate concern</w:t>
      </w:r>
    </w:p>
    <w:p w14:paraId="13266FAD"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The article uses a large historical cross-country dataset and reports a clear descriptive association between high debt/GDP and lower growth. However, the causal interpretation is limited. The provided text mainly compares average and median growth across debt categories, and the “90 percent threshold” claim may be stronger than the evidence shown can support. </w:t>
      </w:r>
    </w:p>
    <w:p w14:paraId="4496F4AC"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2. Study design and statistical evidence</w:t>
      </w:r>
    </w:p>
    <w:p w14:paraId="6E35467E"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This is an </w:t>
      </w:r>
      <w:r w:rsidRPr="00E724AB">
        <w:rPr>
          <w:rFonts w:ascii="Times New Roman" w:eastAsia="Times New Roman" w:hAnsi="Times New Roman" w:cs="Times New Roman"/>
          <w:b/>
          <w:bCs/>
          <w:kern w:val="0"/>
          <w14:ligatures w14:val="none"/>
        </w:rPr>
        <w:t>observational historical cross-country macroeconomic study</w:t>
      </w:r>
      <w:r w:rsidRPr="00E724AB">
        <w:rPr>
          <w:rFonts w:ascii="Times New Roman" w:eastAsia="Times New Roman" w:hAnsi="Times New Roman" w:cs="Times New Roman"/>
          <w:kern w:val="0"/>
          <w14:ligatures w14:val="none"/>
        </w:rPr>
        <w:t>, not a randomized or quasi-experimental design.</w:t>
      </w:r>
    </w:p>
    <w:p w14:paraId="0CDE5214"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The authors analyze data from </w:t>
      </w:r>
      <w:r w:rsidRPr="00E724AB">
        <w:rPr>
          <w:rFonts w:ascii="Times New Roman" w:eastAsia="Times New Roman" w:hAnsi="Times New Roman" w:cs="Times New Roman"/>
          <w:b/>
          <w:bCs/>
          <w:kern w:val="0"/>
          <w14:ligatures w14:val="none"/>
        </w:rPr>
        <w:t>44 countries</w:t>
      </w:r>
      <w:r w:rsidRPr="00E724AB">
        <w:rPr>
          <w:rFonts w:ascii="Times New Roman" w:eastAsia="Times New Roman" w:hAnsi="Times New Roman" w:cs="Times New Roman"/>
          <w:kern w:val="0"/>
          <w14:ligatures w14:val="none"/>
        </w:rPr>
        <w:t xml:space="preserve"> over roughly </w:t>
      </w:r>
      <w:r w:rsidRPr="00E724AB">
        <w:rPr>
          <w:rFonts w:ascii="Times New Roman" w:eastAsia="Times New Roman" w:hAnsi="Times New Roman" w:cs="Times New Roman"/>
          <w:b/>
          <w:bCs/>
          <w:kern w:val="0"/>
          <w14:ligatures w14:val="none"/>
        </w:rPr>
        <w:t>two centuries</w:t>
      </w:r>
      <w:r w:rsidRPr="00E724AB">
        <w:rPr>
          <w:rFonts w:ascii="Times New Roman" w:eastAsia="Times New Roman" w:hAnsi="Times New Roman" w:cs="Times New Roman"/>
          <w:kern w:val="0"/>
          <w14:ligatures w14:val="none"/>
        </w:rPr>
        <w:t xml:space="preserve">, with more than </w:t>
      </w:r>
      <w:r w:rsidRPr="00E724AB">
        <w:rPr>
          <w:rFonts w:ascii="Times New Roman" w:eastAsia="Times New Roman" w:hAnsi="Times New Roman" w:cs="Times New Roman"/>
          <w:b/>
          <w:bCs/>
          <w:kern w:val="0"/>
          <w14:ligatures w14:val="none"/>
        </w:rPr>
        <w:t>3,700 annual observations</w:t>
      </w:r>
      <w:r w:rsidRPr="00E724AB">
        <w:rPr>
          <w:rFonts w:ascii="Times New Roman" w:eastAsia="Times New Roman" w:hAnsi="Times New Roman" w:cs="Times New Roman"/>
          <w:kern w:val="0"/>
          <w14:ligatures w14:val="none"/>
        </w:rPr>
        <w:t>. They group country-year observations into debt/GDP categories: below 30%, 30–60%, 60–90%, and above 90%. They then compare average and median GDP growth and inflation across these groups.</w:t>
      </w:r>
    </w:p>
    <w:p w14:paraId="47FF77F2"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Main evidence reported:</w:t>
      </w:r>
    </w:p>
    <w:p w14:paraId="2EA95EF9" w14:textId="77777777" w:rsidR="00E724AB" w:rsidRPr="00E724AB" w:rsidRDefault="00E724AB" w:rsidP="00E724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For advanced economies, debt/GDP above 90% is associated with lower growth than lower debt categories. </w:t>
      </w:r>
    </w:p>
    <w:p w14:paraId="32AD4B0D" w14:textId="77777777" w:rsidR="00E724AB" w:rsidRPr="00E724AB" w:rsidRDefault="00E724AB" w:rsidP="00E724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For emerging markets, debt/GDP above 90% is also associated with lower growth and higher inflation. </w:t>
      </w:r>
    </w:p>
    <w:p w14:paraId="3D250E56" w14:textId="77777777" w:rsidR="00E724AB" w:rsidRPr="00E724AB" w:rsidRDefault="00E724AB" w:rsidP="00E724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For emerging markets, external debt above 60% of GDP is associated with lower growth. </w:t>
      </w:r>
    </w:p>
    <w:p w14:paraId="51A3C033" w14:textId="77777777" w:rsidR="00E724AB" w:rsidRPr="00E724AB" w:rsidRDefault="00E724AB" w:rsidP="00E724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Figures and tables report category means, medians, and observation counts, but not regression estimates, confidence intervals, or formal uncertainty around the threshold. </w:t>
      </w:r>
    </w:p>
    <w:p w14:paraId="12113EE5"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lastRenderedPageBreak/>
        <w:t>3. Main statistical concerns</w:t>
      </w:r>
    </w:p>
    <w:p w14:paraId="3AA68CEA" w14:textId="77777777" w:rsidR="00E724AB" w:rsidRPr="00E724AB" w:rsidRDefault="00E724AB" w:rsidP="00E724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The design supports association, not clear causation.</w:t>
      </w:r>
      <w:r w:rsidRPr="00E724AB">
        <w:rPr>
          <w:rFonts w:ascii="Times New Roman" w:eastAsia="Times New Roman" w:hAnsi="Times New Roman" w:cs="Times New Roman"/>
          <w:kern w:val="0"/>
          <w14:ligatures w14:val="none"/>
        </w:rPr>
        <w:br/>
        <w:t xml:space="preserve">The paper shows that high-debt periods are associated with lower growth, but the provided text does not establish whether high debt causes low growth, whether low growth causes high debt, or whether both are driven by crises, wars, recessions, or other confounders. </w:t>
      </w:r>
    </w:p>
    <w:p w14:paraId="2278CFEA" w14:textId="77777777" w:rsidR="00E724AB" w:rsidRPr="00E724AB" w:rsidRDefault="00E724AB" w:rsidP="00E724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The 90% “threshold” may be overstated.</w:t>
      </w:r>
      <w:r w:rsidRPr="00E724AB">
        <w:rPr>
          <w:rFonts w:ascii="Times New Roman" w:eastAsia="Times New Roman" w:hAnsi="Times New Roman" w:cs="Times New Roman"/>
          <w:kern w:val="0"/>
          <w14:ligatures w14:val="none"/>
        </w:rPr>
        <w:br/>
        <w:t xml:space="preserve">The debt categories are chosen in advance by the authors, but the provided text does not show sensitivity analyses using alternative cutoffs. The conclusion that 90% is a meaningful threshold needs stronger statistical support. </w:t>
      </w:r>
    </w:p>
    <w:p w14:paraId="0FCD14DC" w14:textId="77777777" w:rsidR="00E724AB" w:rsidRPr="00E724AB" w:rsidRDefault="00E724AB" w:rsidP="00E724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No confidence intervals or formal statistical tests are shown for the main comparisons.</w:t>
      </w:r>
      <w:r w:rsidRPr="00E724AB">
        <w:rPr>
          <w:rFonts w:ascii="Times New Roman" w:eastAsia="Times New Roman" w:hAnsi="Times New Roman" w:cs="Times New Roman"/>
          <w:kern w:val="0"/>
          <w14:ligatures w14:val="none"/>
        </w:rPr>
        <w:br/>
        <w:t xml:space="preserve">The paper reports averages, medians, and figures, but the excerpt does not provide standard errors, confidence intervals, or p-values for differences in growth across debt categories. </w:t>
      </w:r>
    </w:p>
    <w:p w14:paraId="49A5EF06" w14:textId="77777777" w:rsidR="00E724AB" w:rsidRPr="00E724AB" w:rsidRDefault="00E724AB" w:rsidP="00E724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Country-year observations may not be independent.</w:t>
      </w:r>
      <w:r w:rsidRPr="00E724AB">
        <w:rPr>
          <w:rFonts w:ascii="Times New Roman" w:eastAsia="Times New Roman" w:hAnsi="Times New Roman" w:cs="Times New Roman"/>
          <w:kern w:val="0"/>
          <w14:ligatures w14:val="none"/>
        </w:rPr>
        <w:br/>
        <w:t xml:space="preserve">The analysis pools many annual observations across countries and time. Years within the same country are likely correlated, and countries differ in institutions, monetary regimes, war exposure, and crisis histories. The provided text does not show whether these dependencies were modeled. </w:t>
      </w:r>
    </w:p>
    <w:p w14:paraId="7DCF8E5F" w14:textId="77777777" w:rsidR="00E724AB" w:rsidRPr="00E724AB" w:rsidRDefault="00E724AB" w:rsidP="00E724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Important confounding factors are acknowledged but not adjusted for in the shown evidence.</w:t>
      </w:r>
      <w:r w:rsidRPr="00E724AB">
        <w:rPr>
          <w:rFonts w:ascii="Times New Roman" w:eastAsia="Times New Roman" w:hAnsi="Times New Roman" w:cs="Times New Roman"/>
          <w:kern w:val="0"/>
          <w14:ligatures w14:val="none"/>
        </w:rPr>
        <w:br/>
        <w:t xml:space="preserve">The authors note that war debt and peacetime debt may have different implications, but state that they “will not attempt to discriminate the genesis of debt buildups.” This limits interpretation because the reason debt is high may matter greatly. </w:t>
      </w:r>
    </w:p>
    <w:p w14:paraId="1E95C082" w14:textId="77777777" w:rsidR="00E724AB" w:rsidRPr="00E724AB" w:rsidRDefault="00E724AB" w:rsidP="00E724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External debt results for advanced economies are not assessable.</w:t>
      </w:r>
      <w:r w:rsidRPr="00E724AB">
        <w:rPr>
          <w:rFonts w:ascii="Times New Roman" w:eastAsia="Times New Roman" w:hAnsi="Times New Roman" w:cs="Times New Roman"/>
          <w:kern w:val="0"/>
          <w14:ligatures w14:val="none"/>
        </w:rPr>
        <w:br/>
        <w:t xml:space="preserve">The authors explicitly say they cannot calculate comparable external debt thresholds for advanced countries because the available data begin only in the early 2000s. </w:t>
      </w:r>
    </w:p>
    <w:p w14:paraId="72070793"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4. Claims needing more cautious wording</w:t>
      </w:r>
    </w:p>
    <w:p w14:paraId="12BA9621" w14:textId="77777777" w:rsidR="00E724AB" w:rsidRPr="00E724AB" w:rsidRDefault="00E724AB" w:rsidP="00E724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“Above 90 percent, median growth rates fall by one percent, and average growth falls considerably more.”</w:t>
      </w:r>
      <w:r w:rsidRPr="00E724AB">
        <w:rPr>
          <w:rFonts w:ascii="Times New Roman" w:eastAsia="Times New Roman" w:hAnsi="Times New Roman" w:cs="Times New Roman"/>
          <w:kern w:val="0"/>
          <w14:ligatures w14:val="none"/>
        </w:rPr>
        <w:br/>
        <w:t xml:space="preserve">Better: “In these historical data, country-years with debt/GDP above 90% have lower median and average growth than lower-debt country-years.” </w:t>
      </w:r>
    </w:p>
    <w:p w14:paraId="1B1E2FE8" w14:textId="77777777" w:rsidR="00E724AB" w:rsidRPr="00E724AB" w:rsidRDefault="00E724AB" w:rsidP="00E724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“There exists a significantly more severe threshold for total gross external debt.”</w:t>
      </w:r>
      <w:r w:rsidRPr="00E724AB">
        <w:rPr>
          <w:rFonts w:ascii="Times New Roman" w:eastAsia="Times New Roman" w:hAnsi="Times New Roman" w:cs="Times New Roman"/>
          <w:kern w:val="0"/>
          <w14:ligatures w14:val="none"/>
        </w:rPr>
        <w:br/>
        <w:t xml:space="preserve">Better: “The descriptive evidence suggests lower growth at higher external-debt categories, especially above 60% of GDP.” </w:t>
      </w:r>
    </w:p>
    <w:p w14:paraId="7020886E" w14:textId="77777777" w:rsidR="00E724AB" w:rsidRPr="00E724AB" w:rsidRDefault="00E724AB" w:rsidP="00E724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“Seldom do countries simply ‘grow’ their way out of deep debt burdens.”</w:t>
      </w:r>
      <w:r w:rsidRPr="00E724AB">
        <w:rPr>
          <w:rFonts w:ascii="Times New Roman" w:eastAsia="Times New Roman" w:hAnsi="Times New Roman" w:cs="Times New Roman"/>
          <w:kern w:val="0"/>
          <w14:ligatures w14:val="none"/>
        </w:rPr>
        <w:br/>
        <w:t xml:space="preserve">This may be reasonable as a historical claim, but from the provided evidence it should be framed as a descriptive pattern rather than a causal rule. </w:t>
      </w:r>
    </w:p>
    <w:p w14:paraId="2B1EEA29" w14:textId="77777777" w:rsidR="00E724AB" w:rsidRPr="00E724AB" w:rsidRDefault="00E724AB" w:rsidP="00E724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“High debt/GDP levels are associated with notably lower growth outcomes.”</w:t>
      </w:r>
      <w:r w:rsidRPr="00E724AB">
        <w:rPr>
          <w:rFonts w:ascii="Times New Roman" w:eastAsia="Times New Roman" w:hAnsi="Times New Roman" w:cs="Times New Roman"/>
          <w:kern w:val="0"/>
          <w14:ligatures w14:val="none"/>
        </w:rPr>
        <w:br/>
        <w:t xml:space="preserve">This wording is appropriately cautious. It should not be strengthened to “high debt causes lower growth” without additional analysis. </w:t>
      </w:r>
    </w:p>
    <w:p w14:paraId="5C09E6A8"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lastRenderedPageBreak/>
        <w:t>5. What to check in the full paper or supplement</w:t>
      </w:r>
    </w:p>
    <w:p w14:paraId="02E2AAFA" w14:textId="77777777" w:rsidR="00E724AB" w:rsidRPr="00E724AB" w:rsidRDefault="00E724AB" w:rsidP="00E724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the results are robust to alternative debt/GDP cutoffs besides 90%. </w:t>
      </w:r>
    </w:p>
    <w:p w14:paraId="4CC5FA88" w14:textId="77777777" w:rsidR="00E724AB" w:rsidRPr="00E724AB" w:rsidRDefault="00E724AB" w:rsidP="00E724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country fixed effects, time effects, or crisis/war indicators were included. </w:t>
      </w:r>
    </w:p>
    <w:p w14:paraId="622918B6" w14:textId="77777777" w:rsidR="00E724AB" w:rsidRPr="00E724AB" w:rsidRDefault="00E724AB" w:rsidP="00E724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the analysis accounts for serial correlation within countries. </w:t>
      </w:r>
    </w:p>
    <w:p w14:paraId="5DA5DEC6" w14:textId="77777777" w:rsidR="00E724AB" w:rsidRPr="00E724AB" w:rsidRDefault="00E724AB" w:rsidP="00E724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results are weighted by country, by year, or by number of country-year observations. </w:t>
      </w:r>
    </w:p>
    <w:p w14:paraId="3F6037E8" w14:textId="77777777" w:rsidR="00E724AB" w:rsidRPr="00E724AB" w:rsidRDefault="00E724AB" w:rsidP="00E724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influential countries or periods drive the above-90% category. </w:t>
      </w:r>
    </w:p>
    <w:p w14:paraId="694DA149" w14:textId="77777777" w:rsidR="00E724AB" w:rsidRPr="00E724AB" w:rsidRDefault="00E724AB" w:rsidP="00E724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growth is measured contemporaneously, forward-looking, or lagged relative to debt. </w:t>
      </w:r>
    </w:p>
    <w:p w14:paraId="62315DD6" w14:textId="77777777" w:rsidR="00E724AB" w:rsidRPr="00E724AB" w:rsidRDefault="00E724AB" w:rsidP="00E724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reverse causality is addressed. </w:t>
      </w:r>
    </w:p>
    <w:p w14:paraId="1AE9BF4C" w14:textId="77777777" w:rsidR="00E724AB" w:rsidRPr="00E724AB" w:rsidRDefault="00E724AB" w:rsidP="00E724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confidence intervals or formal hypothesis tests are provided. </w:t>
      </w:r>
    </w:p>
    <w:p w14:paraId="145C974F" w14:textId="77777777" w:rsidR="00E724AB" w:rsidRPr="00E724AB" w:rsidRDefault="00E724AB" w:rsidP="00E724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724AB">
        <w:rPr>
          <w:rFonts w:ascii="Times New Roman" w:eastAsia="Times New Roman" w:hAnsi="Times New Roman" w:cs="Times New Roman"/>
          <w:kern w:val="0"/>
          <w14:ligatures w14:val="none"/>
        </w:rPr>
        <w:t>How</w:t>
      </w:r>
      <w:proofErr w:type="gramEnd"/>
      <w:r w:rsidRPr="00E724AB">
        <w:rPr>
          <w:rFonts w:ascii="Times New Roman" w:eastAsia="Times New Roman" w:hAnsi="Times New Roman" w:cs="Times New Roman"/>
          <w:kern w:val="0"/>
          <w14:ligatures w14:val="none"/>
        </w:rPr>
        <w:t xml:space="preserve"> missing historical debt and GDP data were handled. </w:t>
      </w:r>
    </w:p>
    <w:p w14:paraId="3F257D3A" w14:textId="77777777" w:rsidR="00E724AB" w:rsidRPr="00E724AB" w:rsidRDefault="00E724AB" w:rsidP="00E724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public debt definitions are comparable across countries and centuries. </w:t>
      </w:r>
    </w:p>
    <w:p w14:paraId="1C41F782"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6. Final assessment</w:t>
      </w:r>
    </w:p>
    <w:p w14:paraId="29C0FD1C"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The main conclusion is partially supported as a descriptive association, but causal or threshold-based interpretations are questionable from the provided text alone.</w:t>
      </w:r>
      <w:r w:rsidRPr="00E724AB">
        <w:rPr>
          <w:rFonts w:ascii="Times New Roman" w:eastAsia="Times New Roman" w:hAnsi="Times New Roman" w:cs="Times New Roman"/>
          <w:kern w:val="0"/>
          <w14:ligatures w14:val="none"/>
        </w:rPr>
        <w:t xml:space="preserve"> The evidence supports saying that high debt/GDP periods are associated with lower average and median growth in this dataset. It does not, by itself, firmly establish that crossing 90% debt/GDP causes growth to decline.</w:t>
      </w:r>
    </w:p>
    <w:p w14:paraId="178DD573" w14:textId="77777777" w:rsidR="00E724AB" w:rsidRDefault="00E724AB" w:rsidP="00E724AB">
      <w:pPr>
        <w:shd w:val="clear" w:color="auto" w:fill="FFFFFF"/>
        <w:spacing w:after="100" w:afterAutospacing="1" w:line="240" w:lineRule="auto"/>
        <w:rPr>
          <w:rFonts w:ascii="Inter" w:eastAsia="Times New Roman" w:hAnsi="Inter" w:cs="Times New Roman"/>
          <w:color w:val="1F2D3D"/>
          <w:kern w:val="0"/>
          <w14:ligatures w14:val="none"/>
        </w:rPr>
      </w:pPr>
    </w:p>
    <w:p w14:paraId="1D60C829" w14:textId="0D8DE4C3" w:rsidR="00E724AB" w:rsidRPr="00E724AB" w:rsidRDefault="00E724AB" w:rsidP="00E724AB">
      <w:pPr>
        <w:shd w:val="clear" w:color="auto" w:fill="FFFFFF"/>
        <w:spacing w:after="100" w:afterAutospacing="1" w:line="240" w:lineRule="auto"/>
        <w:rPr>
          <w:rFonts w:ascii="Inter" w:eastAsia="Times New Roman" w:hAnsi="Inter" w:cs="Times New Roman"/>
          <w:color w:val="1F2D3D"/>
          <w:kern w:val="0"/>
          <w14:ligatures w14:val="none"/>
        </w:rPr>
      </w:pPr>
      <w:r w:rsidRPr="00E724AB">
        <w:rPr>
          <w:rFonts w:ascii="Inter" w:eastAsia="Times New Roman" w:hAnsi="Inter" w:cs="Times New Roman"/>
          <w:color w:val="1F2D3D"/>
          <w:kern w:val="0"/>
          <w14:ligatures w14:val="none"/>
        </w:rPr>
        <w:t>MMR vaccination and autism</w:t>
      </w:r>
    </w:p>
    <w:p w14:paraId="1D6F5B10"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1. Overall concern level</w:t>
      </w:r>
    </w:p>
    <w:p w14:paraId="540531BA"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High concern</w:t>
      </w:r>
    </w:p>
    <w:p w14:paraId="6651A042"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The provided text is a letter/commentary arguing against another epidemiological study’s conclusion about MMR vaccination and autism. The statistical claims are not well supported by the information shown because the argument relies heavily on visual temporal trends, selective interpretation of another study’s results, and causal implications from ecological/time-series patterns. </w:t>
      </w:r>
    </w:p>
    <w:p w14:paraId="647DEF32"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2. Study design and statistical evidence</w:t>
      </w:r>
    </w:p>
    <w:p w14:paraId="4E4E4E98"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The text is </w:t>
      </w:r>
      <w:r w:rsidRPr="00E724AB">
        <w:rPr>
          <w:rFonts w:ascii="Times New Roman" w:eastAsia="Times New Roman" w:hAnsi="Times New Roman" w:cs="Times New Roman"/>
          <w:b/>
          <w:bCs/>
          <w:kern w:val="0"/>
          <w14:ligatures w14:val="none"/>
        </w:rPr>
        <w:t>not a primary research article</w:t>
      </w:r>
      <w:r w:rsidRPr="00E724AB">
        <w:rPr>
          <w:rFonts w:ascii="Times New Roman" w:eastAsia="Times New Roman" w:hAnsi="Times New Roman" w:cs="Times New Roman"/>
          <w:kern w:val="0"/>
          <w14:ligatures w14:val="none"/>
        </w:rPr>
        <w:t xml:space="preserve">; it is a </w:t>
      </w:r>
      <w:r w:rsidRPr="00E724AB">
        <w:rPr>
          <w:rFonts w:ascii="Times New Roman" w:eastAsia="Times New Roman" w:hAnsi="Times New Roman" w:cs="Times New Roman"/>
          <w:b/>
          <w:bCs/>
          <w:kern w:val="0"/>
          <w14:ligatures w14:val="none"/>
        </w:rPr>
        <w:t>letter/commentary</w:t>
      </w:r>
      <w:r w:rsidRPr="00E724AB">
        <w:rPr>
          <w:rFonts w:ascii="Times New Roman" w:eastAsia="Times New Roman" w:hAnsi="Times New Roman" w:cs="Times New Roman"/>
          <w:kern w:val="0"/>
          <w14:ligatures w14:val="none"/>
        </w:rPr>
        <w:t xml:space="preserve"> discussing Taylor et al.’s study and presenting a figure comparing temporal trends in autism diagnoses in California and north-west London.</w:t>
      </w:r>
    </w:p>
    <w:p w14:paraId="2D29F99B"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The statistical evidence provided includes:</w:t>
      </w:r>
    </w:p>
    <w:p w14:paraId="3E5987B9" w14:textId="77777777" w:rsidR="00E724AB" w:rsidRPr="00E724AB" w:rsidRDefault="00E724AB" w:rsidP="00E724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lastRenderedPageBreak/>
        <w:t xml:space="preserve">A claim that Taylor et al. found a statistically significant excess risk of first parental concern within 6 months after MMR. </w:t>
      </w:r>
    </w:p>
    <w:p w14:paraId="0BB8AAF0" w14:textId="77777777" w:rsidR="00E724AB" w:rsidRPr="00E724AB" w:rsidRDefault="00E724AB" w:rsidP="00E724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A figure showing rising autism case counts over time in California and north-west London. </w:t>
      </w:r>
    </w:p>
    <w:p w14:paraId="46826DC9" w14:textId="77777777" w:rsidR="00E724AB" w:rsidRPr="00E724AB" w:rsidRDefault="00E724AB" w:rsidP="00E724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A claim that these trends coincide with introduction of MMR vaccine. </w:t>
      </w:r>
    </w:p>
    <w:p w14:paraId="14BAA57E" w14:textId="77777777" w:rsidR="00E724AB" w:rsidRPr="00E724AB" w:rsidRDefault="00E724AB" w:rsidP="00E724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No original individual-level analysis, no effect estimates, no confidence intervals, no denominators, and no formal model are provided in this text. </w:t>
      </w:r>
    </w:p>
    <w:p w14:paraId="576B94B6"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3. Main statistical concerns</w:t>
      </w:r>
    </w:p>
    <w:p w14:paraId="5534DDF6" w14:textId="77777777" w:rsidR="00E724AB" w:rsidRPr="00E724AB" w:rsidRDefault="00E724AB" w:rsidP="00E724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Ecological/time-trend evidence cannot establish causality.</w:t>
      </w:r>
      <w:r w:rsidRPr="00E724AB">
        <w:rPr>
          <w:rFonts w:ascii="Times New Roman" w:eastAsia="Times New Roman" w:hAnsi="Times New Roman" w:cs="Times New Roman"/>
          <w:kern w:val="0"/>
          <w14:ligatures w14:val="none"/>
        </w:rPr>
        <w:br/>
        <w:t xml:space="preserve">The figure compares autism trends over calendar time with vaccine introduction timing. This type of evidence is vulnerable to changes in diagnosis, ascertainment, reporting systems, awareness, referral patterns, and population denominators. </w:t>
      </w:r>
    </w:p>
    <w:p w14:paraId="68340A05" w14:textId="77777777" w:rsidR="00E724AB" w:rsidRPr="00E724AB" w:rsidRDefault="00E724AB" w:rsidP="00E724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The denominator is unclear.</w:t>
      </w:r>
      <w:r w:rsidRPr="00E724AB">
        <w:rPr>
          <w:rFonts w:ascii="Times New Roman" w:eastAsia="Times New Roman" w:hAnsi="Times New Roman" w:cs="Times New Roman"/>
          <w:kern w:val="0"/>
          <w14:ligatures w14:val="none"/>
        </w:rPr>
        <w:br/>
        <w:t xml:space="preserve">The figure reports “number of persons with autism” and “number of new cases per year,” but the text does not provide population sizes, person-time, age structure, or vaccination coverage denominators. Without these, incidence or prevalence comparisons are difficult to interpret. </w:t>
      </w:r>
    </w:p>
    <w:p w14:paraId="2F7151FC" w14:textId="77777777" w:rsidR="00E724AB" w:rsidRPr="00E724AB" w:rsidRDefault="00E724AB" w:rsidP="00E724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The causal claim is stronger than the evidence shown.</w:t>
      </w:r>
      <w:r w:rsidRPr="00E724AB">
        <w:rPr>
          <w:rFonts w:ascii="Times New Roman" w:eastAsia="Times New Roman" w:hAnsi="Times New Roman" w:cs="Times New Roman"/>
          <w:kern w:val="0"/>
          <w14:ligatures w14:val="none"/>
        </w:rPr>
        <w:br/>
        <w:t xml:space="preserve">The statement that trends are “consistent with the timing of introduction of MMR” does not establish that MMR caused the increase. Temporal coincidence alone is insufficient. </w:t>
      </w:r>
    </w:p>
    <w:p w14:paraId="2963072A" w14:textId="77777777" w:rsidR="00E724AB" w:rsidRPr="00E724AB" w:rsidRDefault="00E724AB" w:rsidP="00E724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Selective emphasis on one significant finding may be misleading.</w:t>
      </w:r>
      <w:r w:rsidRPr="00E724AB">
        <w:rPr>
          <w:rFonts w:ascii="Times New Roman" w:eastAsia="Times New Roman" w:hAnsi="Times New Roman" w:cs="Times New Roman"/>
          <w:kern w:val="0"/>
          <w14:ligatures w14:val="none"/>
        </w:rPr>
        <w:br/>
        <w:t xml:space="preserve">Taylor et al.’s </w:t>
      </w:r>
      <w:proofErr w:type="gramStart"/>
      <w:r w:rsidRPr="00E724AB">
        <w:rPr>
          <w:rFonts w:ascii="Times New Roman" w:eastAsia="Times New Roman" w:hAnsi="Times New Roman" w:cs="Times New Roman"/>
          <w:kern w:val="0"/>
          <w14:ligatures w14:val="none"/>
        </w:rPr>
        <w:t>reply</w:t>
      </w:r>
      <w:proofErr w:type="gramEnd"/>
      <w:r w:rsidRPr="00E724AB">
        <w:rPr>
          <w:rFonts w:ascii="Times New Roman" w:eastAsia="Times New Roman" w:hAnsi="Times New Roman" w:cs="Times New Roman"/>
          <w:kern w:val="0"/>
          <w14:ligatures w14:val="none"/>
        </w:rPr>
        <w:t xml:space="preserve"> states that the raised incidence of first parental concern 0–5 months after MMR was one marginally significant result among 14 tests and occurred specifically at 5 months. If accurate, this raises multiple-testing and biological-plausibility concerns. The letter does not address multiplicity. </w:t>
      </w:r>
    </w:p>
    <w:p w14:paraId="5716AF32" w14:textId="77777777" w:rsidR="00E724AB" w:rsidRPr="00E724AB" w:rsidRDefault="00E724AB" w:rsidP="00E724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Alternative explanations are dismissed too strongly.</w:t>
      </w:r>
      <w:r w:rsidRPr="00E724AB">
        <w:rPr>
          <w:rFonts w:ascii="Times New Roman" w:eastAsia="Times New Roman" w:hAnsi="Times New Roman" w:cs="Times New Roman"/>
          <w:kern w:val="0"/>
          <w14:ligatures w14:val="none"/>
        </w:rPr>
        <w:br/>
        <w:t xml:space="preserve">The letter argues that diagnostic change cannot explain the increase, but the provided text does not show a rigorous analysis ruling out diagnostic expansion, ascertainment changes, service availability, or reporting changes. </w:t>
      </w:r>
    </w:p>
    <w:p w14:paraId="1C4C024F" w14:textId="77777777" w:rsidR="00E724AB" w:rsidRPr="00E724AB" w:rsidRDefault="00E724AB" w:rsidP="00E724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No adjustment for confounding is shown.</w:t>
      </w:r>
      <w:r w:rsidRPr="00E724AB">
        <w:rPr>
          <w:rFonts w:ascii="Times New Roman" w:eastAsia="Times New Roman" w:hAnsi="Times New Roman" w:cs="Times New Roman"/>
          <w:kern w:val="0"/>
          <w14:ligatures w14:val="none"/>
        </w:rPr>
        <w:br/>
        <w:t xml:space="preserve">The comparison across regions and years does not adjust for changes in diagnostic practice, healthcare access, demographic composition, or surveillance intensity. </w:t>
      </w:r>
    </w:p>
    <w:p w14:paraId="2B014ED1"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4. Claims needing more cautious wording</w:t>
      </w:r>
    </w:p>
    <w:p w14:paraId="6C3971A7" w14:textId="77777777" w:rsidR="00E724AB" w:rsidRPr="00E724AB" w:rsidRDefault="00E724AB" w:rsidP="00E724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“Identical temporal trends are shown.”</w:t>
      </w:r>
      <w:r w:rsidRPr="00E724AB">
        <w:rPr>
          <w:rFonts w:ascii="Times New Roman" w:eastAsia="Times New Roman" w:hAnsi="Times New Roman" w:cs="Times New Roman"/>
          <w:kern w:val="0"/>
          <w14:ligatures w14:val="none"/>
        </w:rPr>
        <w:br/>
        <w:t xml:space="preserve">Better: “The figure shows broadly similar rising trends, although the comparability of the two data sources is not fully established here.” </w:t>
      </w:r>
    </w:p>
    <w:p w14:paraId="72CA09AD" w14:textId="77777777" w:rsidR="00E724AB" w:rsidRPr="00E724AB" w:rsidRDefault="00E724AB" w:rsidP="00E724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“The sequential trends are consistent with the timing of introduction of MMR to both regions.”</w:t>
      </w:r>
      <w:r w:rsidRPr="00E724AB">
        <w:rPr>
          <w:rFonts w:ascii="Times New Roman" w:eastAsia="Times New Roman" w:hAnsi="Times New Roman" w:cs="Times New Roman"/>
          <w:kern w:val="0"/>
          <w14:ligatures w14:val="none"/>
        </w:rPr>
        <w:br/>
        <w:t xml:space="preserve">Better: “The timing is temporally compatible with the hypothesis, but temporal compatibility alone does not provide strong evidence of causality.” </w:t>
      </w:r>
    </w:p>
    <w:p w14:paraId="4BE23559" w14:textId="77777777" w:rsidR="00E724AB" w:rsidRPr="00E724AB" w:rsidRDefault="00E724AB" w:rsidP="00E724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lastRenderedPageBreak/>
        <w:t>“These data expose the danger of… setting out to prove, rather than to test, hypotheses.”</w:t>
      </w:r>
      <w:r w:rsidRPr="00E724AB">
        <w:rPr>
          <w:rFonts w:ascii="Times New Roman" w:eastAsia="Times New Roman" w:hAnsi="Times New Roman" w:cs="Times New Roman"/>
          <w:kern w:val="0"/>
          <w14:ligatures w14:val="none"/>
        </w:rPr>
        <w:br/>
        <w:t xml:space="preserve">This is rhetorical and should be separated from statistical evidence. </w:t>
      </w:r>
    </w:p>
    <w:p w14:paraId="402568C8" w14:textId="77777777" w:rsidR="00E724AB" w:rsidRPr="00E724AB" w:rsidRDefault="00E724AB" w:rsidP="00E724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“Can the dramatic increase in autism be ascribed to change in diagnostic practice? Data… belie this contention.”</w:t>
      </w:r>
      <w:r w:rsidRPr="00E724AB">
        <w:rPr>
          <w:rFonts w:ascii="Times New Roman" w:eastAsia="Times New Roman" w:hAnsi="Times New Roman" w:cs="Times New Roman"/>
          <w:kern w:val="0"/>
          <w14:ligatures w14:val="none"/>
        </w:rPr>
        <w:br/>
        <w:t xml:space="preserve">Better: “The author argues that diagnostic change is insufficient, but the provided text does not show enough evidence to rule it out.” </w:t>
      </w:r>
    </w:p>
    <w:p w14:paraId="76318523"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5. What to check in the full paper or supplement</w:t>
      </w:r>
    </w:p>
    <w:p w14:paraId="64CD90AA" w14:textId="77777777" w:rsidR="00E724AB" w:rsidRPr="00E724AB" w:rsidRDefault="00E724AB" w:rsidP="00E724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Exact design and data sources used by Taylor et al. </w:t>
      </w:r>
    </w:p>
    <w:p w14:paraId="3D33BAD3" w14:textId="77777777" w:rsidR="00E724AB" w:rsidRPr="00E724AB" w:rsidRDefault="00E724AB" w:rsidP="00E724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Number of autism cases by birth cohort, vaccination status, and timing of first parental concern. </w:t>
      </w:r>
    </w:p>
    <w:p w14:paraId="04930E2B" w14:textId="77777777" w:rsidR="00E724AB" w:rsidRPr="00E724AB" w:rsidRDefault="00E724AB" w:rsidP="00E724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MMR coverage rates over time and whether coverage varied enough to explain trends. </w:t>
      </w:r>
    </w:p>
    <w:p w14:paraId="18932F1C" w14:textId="77777777" w:rsidR="00E724AB" w:rsidRPr="00E724AB" w:rsidRDefault="00E724AB" w:rsidP="00E724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analyses used individual-level vaccination and outcome data. </w:t>
      </w:r>
    </w:p>
    <w:p w14:paraId="61831472" w14:textId="77777777" w:rsidR="00E724AB" w:rsidRPr="00E724AB" w:rsidRDefault="00E724AB" w:rsidP="00E724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Risk windows tested and whether multiple testing was addressed. </w:t>
      </w:r>
    </w:p>
    <w:p w14:paraId="7CB439FE" w14:textId="77777777" w:rsidR="00E724AB" w:rsidRPr="00E724AB" w:rsidRDefault="00E724AB" w:rsidP="00E724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Confidence intervals for all relative incidence estimates. </w:t>
      </w:r>
    </w:p>
    <w:p w14:paraId="2921CAA6" w14:textId="77777777" w:rsidR="00E724AB" w:rsidRPr="00E724AB" w:rsidRDefault="00E724AB" w:rsidP="00E724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How first parental concern, diagnosis date, and autism case definitions were measured. </w:t>
      </w:r>
    </w:p>
    <w:p w14:paraId="10680212" w14:textId="77777777" w:rsidR="00E724AB" w:rsidRPr="00E724AB" w:rsidRDefault="00E724AB" w:rsidP="00E724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diagnostic criteria and ascertainment methods were stable over time. </w:t>
      </w:r>
    </w:p>
    <w:p w14:paraId="0124361F" w14:textId="77777777" w:rsidR="00E724AB" w:rsidRPr="00E724AB" w:rsidRDefault="00E724AB" w:rsidP="00E724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population denominators and age distributions were accounted for. </w:t>
      </w:r>
    </w:p>
    <w:p w14:paraId="653D04F9" w14:textId="77777777" w:rsidR="00E724AB" w:rsidRPr="00E724AB" w:rsidRDefault="00E724AB" w:rsidP="00E724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kern w:val="0"/>
          <w14:ligatures w14:val="none"/>
        </w:rPr>
        <w:t xml:space="preserve">Whether catch-up campaign exposure was handled correctly. </w:t>
      </w:r>
    </w:p>
    <w:p w14:paraId="70F4A9C2" w14:textId="77777777" w:rsidR="00E724AB" w:rsidRPr="00E724AB" w:rsidRDefault="00E724AB" w:rsidP="00E72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24AB">
        <w:rPr>
          <w:rFonts w:ascii="Times New Roman" w:eastAsia="Times New Roman" w:hAnsi="Times New Roman" w:cs="Times New Roman"/>
          <w:b/>
          <w:bCs/>
          <w:kern w:val="0"/>
          <w:sz w:val="36"/>
          <w:szCs w:val="36"/>
          <w14:ligatures w14:val="none"/>
        </w:rPr>
        <w:t>6. Final assessment</w:t>
      </w:r>
    </w:p>
    <w:p w14:paraId="752172F5" w14:textId="77777777" w:rsidR="00E724AB" w:rsidRPr="00E724AB" w:rsidRDefault="00E724AB" w:rsidP="00E724AB">
      <w:pPr>
        <w:spacing w:before="100" w:beforeAutospacing="1" w:after="100" w:afterAutospacing="1" w:line="240" w:lineRule="auto"/>
        <w:rPr>
          <w:rFonts w:ascii="Times New Roman" w:eastAsia="Times New Roman" w:hAnsi="Times New Roman" w:cs="Times New Roman"/>
          <w:kern w:val="0"/>
          <w14:ligatures w14:val="none"/>
        </w:rPr>
      </w:pPr>
      <w:r w:rsidRPr="00E724AB">
        <w:rPr>
          <w:rFonts w:ascii="Times New Roman" w:eastAsia="Times New Roman" w:hAnsi="Times New Roman" w:cs="Times New Roman"/>
          <w:b/>
          <w:bCs/>
          <w:kern w:val="0"/>
          <w14:ligatures w14:val="none"/>
        </w:rPr>
        <w:t>The main causal implication is misleading or at least not supported by the provided text.</w:t>
      </w:r>
      <w:r w:rsidRPr="00E724AB">
        <w:rPr>
          <w:rFonts w:ascii="Times New Roman" w:eastAsia="Times New Roman" w:hAnsi="Times New Roman" w:cs="Times New Roman"/>
          <w:kern w:val="0"/>
          <w14:ligatures w14:val="none"/>
        </w:rPr>
        <w:t xml:space="preserve"> The letter raises questions about another study, but the statistical evidence shown here is insufficient to support a causal association between MMR vaccination and autism. The strongest defensible conclusion is that the author is proposing a hypothesis or critique, not demonstrating a causal link.</w:t>
      </w:r>
    </w:p>
    <w:p w14:paraId="0D1C01AB" w14:textId="77777777" w:rsidR="00E724AB" w:rsidRPr="00E724AB" w:rsidRDefault="00E724AB">
      <w:pPr>
        <w:rPr>
          <w:rFonts w:hint="eastAsia"/>
          <w:b/>
          <w:bCs/>
        </w:rPr>
      </w:pPr>
    </w:p>
    <w:sectPr w:rsidR="00E724AB" w:rsidRPr="00E72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367"/>
    <w:multiLevelType w:val="hybridMultilevel"/>
    <w:tmpl w:val="70CA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226C3"/>
    <w:multiLevelType w:val="multilevel"/>
    <w:tmpl w:val="821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15B96"/>
    <w:multiLevelType w:val="multilevel"/>
    <w:tmpl w:val="BC7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E717A"/>
    <w:multiLevelType w:val="multilevel"/>
    <w:tmpl w:val="69D4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70CAE"/>
    <w:multiLevelType w:val="multilevel"/>
    <w:tmpl w:val="2D7A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6955BD"/>
    <w:multiLevelType w:val="multilevel"/>
    <w:tmpl w:val="E36E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86D05"/>
    <w:multiLevelType w:val="multilevel"/>
    <w:tmpl w:val="55EA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101B6A"/>
    <w:multiLevelType w:val="multilevel"/>
    <w:tmpl w:val="F282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F0E8C"/>
    <w:multiLevelType w:val="multilevel"/>
    <w:tmpl w:val="8E5C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852FDF"/>
    <w:multiLevelType w:val="multilevel"/>
    <w:tmpl w:val="8BEE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F4676"/>
    <w:multiLevelType w:val="multilevel"/>
    <w:tmpl w:val="9D46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42673"/>
    <w:multiLevelType w:val="multilevel"/>
    <w:tmpl w:val="AB4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137C3"/>
    <w:multiLevelType w:val="multilevel"/>
    <w:tmpl w:val="E86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41FDB"/>
    <w:multiLevelType w:val="multilevel"/>
    <w:tmpl w:val="BE00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274E6"/>
    <w:multiLevelType w:val="multilevel"/>
    <w:tmpl w:val="F68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5359B"/>
    <w:multiLevelType w:val="multilevel"/>
    <w:tmpl w:val="89CC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509AD"/>
    <w:multiLevelType w:val="multilevel"/>
    <w:tmpl w:val="D7F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782143">
    <w:abstractNumId w:val="5"/>
  </w:num>
  <w:num w:numId="2" w16cid:durableId="2096851379">
    <w:abstractNumId w:val="3"/>
  </w:num>
  <w:num w:numId="3" w16cid:durableId="1985743508">
    <w:abstractNumId w:val="11"/>
  </w:num>
  <w:num w:numId="4" w16cid:durableId="465510403">
    <w:abstractNumId w:val="1"/>
  </w:num>
  <w:num w:numId="5" w16cid:durableId="1698896125">
    <w:abstractNumId w:val="2"/>
  </w:num>
  <w:num w:numId="6" w16cid:durableId="102118212">
    <w:abstractNumId w:val="8"/>
  </w:num>
  <w:num w:numId="7" w16cid:durableId="897472160">
    <w:abstractNumId w:val="16"/>
  </w:num>
  <w:num w:numId="8" w16cid:durableId="1247569301">
    <w:abstractNumId w:val="14"/>
  </w:num>
  <w:num w:numId="9" w16cid:durableId="1308630989">
    <w:abstractNumId w:val="15"/>
  </w:num>
  <w:num w:numId="10" w16cid:durableId="1095709698">
    <w:abstractNumId w:val="6"/>
  </w:num>
  <w:num w:numId="11" w16cid:durableId="1465855641">
    <w:abstractNumId w:val="13"/>
  </w:num>
  <w:num w:numId="12" w16cid:durableId="187910210">
    <w:abstractNumId w:val="10"/>
  </w:num>
  <w:num w:numId="13" w16cid:durableId="1973974624">
    <w:abstractNumId w:val="0"/>
  </w:num>
  <w:num w:numId="14" w16cid:durableId="1808476162">
    <w:abstractNumId w:val="9"/>
  </w:num>
  <w:num w:numId="15" w16cid:durableId="170416489">
    <w:abstractNumId w:val="4"/>
  </w:num>
  <w:num w:numId="16" w16cid:durableId="212423596">
    <w:abstractNumId w:val="12"/>
  </w:num>
  <w:num w:numId="17" w16cid:durableId="1063454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5D"/>
    <w:rsid w:val="00377171"/>
    <w:rsid w:val="0057778E"/>
    <w:rsid w:val="006D3F5D"/>
    <w:rsid w:val="00D33AE2"/>
    <w:rsid w:val="00E724AB"/>
    <w:rsid w:val="00E82D73"/>
    <w:rsid w:val="00FC3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BFBB"/>
  <w15:chartTrackingRefBased/>
  <w15:docId w15:val="{655DE31D-916C-4844-AAB2-6089A9B98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F5D"/>
    <w:rPr>
      <w:rFonts w:eastAsiaTheme="majorEastAsia" w:cstheme="majorBidi"/>
      <w:color w:val="272727" w:themeColor="text1" w:themeTint="D8"/>
    </w:rPr>
  </w:style>
  <w:style w:type="paragraph" w:styleId="Title">
    <w:name w:val="Title"/>
    <w:basedOn w:val="Normal"/>
    <w:next w:val="Normal"/>
    <w:link w:val="TitleChar"/>
    <w:uiPriority w:val="10"/>
    <w:qFormat/>
    <w:rsid w:val="006D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F5D"/>
    <w:pPr>
      <w:spacing w:before="160"/>
      <w:jc w:val="center"/>
    </w:pPr>
    <w:rPr>
      <w:i/>
      <w:iCs/>
      <w:color w:val="404040" w:themeColor="text1" w:themeTint="BF"/>
    </w:rPr>
  </w:style>
  <w:style w:type="character" w:customStyle="1" w:styleId="QuoteChar">
    <w:name w:val="Quote Char"/>
    <w:basedOn w:val="DefaultParagraphFont"/>
    <w:link w:val="Quote"/>
    <w:uiPriority w:val="29"/>
    <w:rsid w:val="006D3F5D"/>
    <w:rPr>
      <w:i/>
      <w:iCs/>
      <w:color w:val="404040" w:themeColor="text1" w:themeTint="BF"/>
    </w:rPr>
  </w:style>
  <w:style w:type="paragraph" w:styleId="ListParagraph">
    <w:name w:val="List Paragraph"/>
    <w:basedOn w:val="Normal"/>
    <w:uiPriority w:val="34"/>
    <w:qFormat/>
    <w:rsid w:val="006D3F5D"/>
    <w:pPr>
      <w:ind w:left="720"/>
      <w:contextualSpacing/>
    </w:pPr>
  </w:style>
  <w:style w:type="character" w:styleId="IntenseEmphasis">
    <w:name w:val="Intense Emphasis"/>
    <w:basedOn w:val="DefaultParagraphFont"/>
    <w:uiPriority w:val="21"/>
    <w:qFormat/>
    <w:rsid w:val="006D3F5D"/>
    <w:rPr>
      <w:i/>
      <w:iCs/>
      <w:color w:val="0F4761" w:themeColor="accent1" w:themeShade="BF"/>
    </w:rPr>
  </w:style>
  <w:style w:type="paragraph" w:styleId="IntenseQuote">
    <w:name w:val="Intense Quote"/>
    <w:basedOn w:val="Normal"/>
    <w:next w:val="Normal"/>
    <w:link w:val="IntenseQuoteChar"/>
    <w:uiPriority w:val="30"/>
    <w:qFormat/>
    <w:rsid w:val="006D3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F5D"/>
    <w:rPr>
      <w:i/>
      <w:iCs/>
      <w:color w:val="0F4761" w:themeColor="accent1" w:themeShade="BF"/>
    </w:rPr>
  </w:style>
  <w:style w:type="character" w:styleId="IntenseReference">
    <w:name w:val="Intense Reference"/>
    <w:basedOn w:val="DefaultParagraphFont"/>
    <w:uiPriority w:val="32"/>
    <w:qFormat/>
    <w:rsid w:val="006D3F5D"/>
    <w:rPr>
      <w:b/>
      <w:bCs/>
      <w:smallCaps/>
      <w:color w:val="0F4761" w:themeColor="accent1" w:themeShade="BF"/>
      <w:spacing w:val="5"/>
    </w:rPr>
  </w:style>
  <w:style w:type="paragraph" w:styleId="NormalWeb">
    <w:name w:val="Normal (Web)"/>
    <w:basedOn w:val="Normal"/>
    <w:uiPriority w:val="99"/>
    <w:semiHidden/>
    <w:unhideWhenUsed/>
    <w:rsid w:val="00E724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2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3034</Words>
  <Characters>17298</Characters>
  <Application>Microsoft Office Word</Application>
  <DocSecurity>0</DocSecurity>
  <Lines>144</Lines>
  <Paragraphs>40</Paragraphs>
  <ScaleCrop>false</ScaleCrop>
  <Company/>
  <LinksUpToDate>false</LinksUpToDate>
  <CharactersWithSpaces>20292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Yvonne</dc:creator>
  <cp:keywords/>
  <dc:description/>
  <cp:lastModifiedBy>Yang, Yvonne</cp:lastModifiedBy>
  <cp:revision>2</cp:revision>
  <dcterms:created xsi:type="dcterms:W3CDTF">2026-05-10T20:25:00Z</dcterms:created>
  <dcterms:modified xsi:type="dcterms:W3CDTF">2026-05-10T20:25:00Z</dcterms:modified>
</cp:coreProperties>
</file>