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9AE" w14:textId="77777777" w:rsidR="0033620F" w:rsidRDefault="0033620F" w:rsidP="0033620F">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proofErr w:type="spellStart"/>
      <w:r w:rsidRPr="00DD2D00">
        <w:rPr>
          <w:rFonts w:ascii="Times New Roman" w:eastAsia="Times New Roman" w:hAnsi="Times New Roman" w:cs="Times New Roman"/>
          <w:b/>
          <w:bCs/>
          <w:kern w:val="0"/>
          <w14:ligatures w14:val="none"/>
        </w:rPr>
        <w:t>Wansink</w:t>
      </w:r>
      <w:proofErr w:type="spellEnd"/>
      <w:r w:rsidRPr="00DD2D00">
        <w:rPr>
          <w:rFonts w:ascii="Times New Roman" w:eastAsia="Times New Roman" w:hAnsi="Times New Roman" w:cs="Times New Roman"/>
          <w:b/>
          <w:bCs/>
          <w:kern w:val="0"/>
          <w14:ligatures w14:val="none"/>
        </w:rPr>
        <w:t xml:space="preserve"> Bottomless Bowls</w:t>
      </w:r>
      <w:r w:rsidRPr="00DD2D00">
        <w:rPr>
          <w:rFonts w:ascii="Times New Roman" w:eastAsia="Times New Roman" w:hAnsi="Times New Roman" w:cs="Times New Roman"/>
          <w:kern w:val="0"/>
          <w14:ligatures w14:val="none"/>
        </w:rPr>
        <w:t xml:space="preserve"> </w:t>
      </w:r>
    </w:p>
    <w:p w14:paraId="3C675655" w14:textId="77777777" w:rsidR="0033620F" w:rsidRPr="0033620F" w:rsidRDefault="0033620F" w:rsidP="0033620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6367D0D2"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Questionable</w:t>
      </w:r>
    </w:p>
    <w:p w14:paraId="20C2EF3E" w14:textId="77777777" w:rsidR="0033620F" w:rsidRPr="0033620F" w:rsidRDefault="0033620F" w:rsidP="0033620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7160E707"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participants in the self-refilling bowl condition consumed more soup than those in the normal bowl condition. However, the broader claims about satiety, BMI moderation, self-monitoring, and prevention of unintentional overeating are stronger than the limited sample size and abstract-level evidence can fully support.</w:t>
      </w:r>
    </w:p>
    <w:p w14:paraId="2D8BD8A7" w14:textId="77777777" w:rsidR="0033620F" w:rsidRPr="0033620F" w:rsidRDefault="0033620F" w:rsidP="0033620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690341BA"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in a small between-subject experiment with 54 participants, biased visual cues from self-refilling bowls were associated with higher soup intake without a reported increase in perceived intake or satiety.</w:t>
      </w:r>
    </w:p>
    <w:p w14:paraId="3CFD6C37" w14:textId="77777777" w:rsidR="0033620F" w:rsidRPr="0033620F" w:rsidRDefault="0033620F" w:rsidP="0033620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612D462E" w14:textId="77777777" w:rsidR="0033620F" w:rsidRPr="0033620F" w:rsidRDefault="0033620F" w:rsidP="0033620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participants were randomly assigned and whether group sizes and baseline characteristics were balanced. </w:t>
      </w:r>
    </w:p>
    <w:p w14:paraId="20EA4880" w14:textId="77777777" w:rsidR="0033620F" w:rsidRPr="0033620F" w:rsidRDefault="0033620F" w:rsidP="0033620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satiety, intake estimation, and consumption monitoring were measured and analyzed. </w:t>
      </w:r>
    </w:p>
    <w:p w14:paraId="56EC1EA8" w14:textId="77777777" w:rsidR="0033620F" w:rsidRPr="0033620F" w:rsidRDefault="0033620F" w:rsidP="0033620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the study had adequate power to conclude that the effect was “unaffected by BMI.” </w:t>
      </w:r>
    </w:p>
    <w:p w14:paraId="3B60E9CC" w14:textId="77777777" w:rsidR="0033620F" w:rsidRPr="0033620F" w:rsidRDefault="0033620F" w:rsidP="0033620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0FF61DFD"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In this small experimental study, participants eating from self-refilling bowls consumed more soup than those eating from normal bowls, suggesting that visual cues may influence intake under these conditions.</w:t>
      </w:r>
    </w:p>
    <w:p w14:paraId="6FE93572" w14:textId="77777777" w:rsidR="0033620F" w:rsidRPr="0033620F" w:rsidRDefault="0033620F" w:rsidP="0033620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60B43BA4"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needs cautious interpretation: the intake difference is supported, but the broader behavioral and prevention claims appear somewhat overstated from the abstract alone.</w:t>
      </w:r>
    </w:p>
    <w:p w14:paraId="4AB77B6A" w14:textId="77777777" w:rsidR="0033620F" w:rsidRDefault="0033620F" w:rsidP="0033620F"/>
    <w:p w14:paraId="6255BA22" w14:textId="77777777" w:rsidR="0033620F" w:rsidRDefault="0033620F" w:rsidP="0033620F">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Reinhart &amp; Rogoff</w:t>
      </w:r>
      <w:r w:rsidRPr="00DD2D00">
        <w:rPr>
          <w:rFonts w:ascii="Times New Roman" w:eastAsia="Times New Roman" w:hAnsi="Times New Roman" w:cs="Times New Roman"/>
          <w:kern w:val="0"/>
          <w14:ligatures w14:val="none"/>
        </w:rPr>
        <w:t xml:space="preserve"> </w:t>
      </w:r>
    </w:p>
    <w:p w14:paraId="7342747D" w14:textId="77777777" w:rsidR="0033620F" w:rsidRPr="0033620F" w:rsidRDefault="0033620F" w:rsidP="0033620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577BD75F"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Questionable</w:t>
      </w:r>
    </w:p>
    <w:p w14:paraId="45022A02" w14:textId="77777777" w:rsidR="0033620F" w:rsidRPr="0033620F" w:rsidRDefault="0033620F" w:rsidP="0033620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lastRenderedPageBreak/>
        <w:t xml:space="preserve">Main issue </w:t>
      </w:r>
    </w:p>
    <w:p w14:paraId="7F12680A"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describes a large historical observational dataset and reports associations between debt categories, growth, and inflation. The main concern is that the language of “thresholds” and “annual growth declines” may imply a causal or sharply defined cutoff, while the abstract provides descriptive comparisons rather than evidence that crossing 90% or 60% debt/GDP causes growth to fall.</w:t>
      </w:r>
    </w:p>
    <w:p w14:paraId="002E3542" w14:textId="77777777" w:rsidR="0033620F" w:rsidRPr="0033620F" w:rsidRDefault="0033620F" w:rsidP="0033620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07BDCE91"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in the authors’ historical cross-country dataset, higher public debt and external debt levels are associated with lower average or median growth, and that inflation patterns differ between advanced economies and emerging markets.</w:t>
      </w:r>
    </w:p>
    <w:p w14:paraId="17AA3CE3" w14:textId="77777777" w:rsidR="0033620F" w:rsidRPr="0033620F" w:rsidRDefault="0033620F" w:rsidP="0033620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78EE98C2" w14:textId="77777777" w:rsidR="0033620F" w:rsidRPr="0033620F" w:rsidRDefault="0033620F" w:rsidP="0033620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the 90% and 60% thresholds are robust to alternative cutoffs and modeling choices. </w:t>
      </w:r>
    </w:p>
    <w:p w14:paraId="7467464B" w14:textId="77777777" w:rsidR="0033620F" w:rsidRPr="0033620F" w:rsidRDefault="0033620F" w:rsidP="0033620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reverse causality is addressed, since weak growth may also increase debt/GDP. </w:t>
      </w:r>
    </w:p>
    <w:p w14:paraId="39009E69" w14:textId="77777777" w:rsidR="0033620F" w:rsidRPr="0033620F" w:rsidRDefault="0033620F" w:rsidP="0033620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country-year dependence, country heterogeneity, wars, crises, and other confounders are handled. </w:t>
      </w:r>
    </w:p>
    <w:p w14:paraId="67CA0306" w14:textId="77777777" w:rsidR="0033620F" w:rsidRPr="0033620F" w:rsidRDefault="0033620F" w:rsidP="0033620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4BE2F810"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In this historical cross-country dataset, very high public debt and external debt levels are associated with lower subsequent or contemporaneous growth outcomes, but the abstract alone does not establish that these debt thresholds cause growth to decline.</w:t>
      </w:r>
    </w:p>
    <w:p w14:paraId="5D535374" w14:textId="77777777" w:rsidR="0033620F" w:rsidRPr="0033620F" w:rsidRDefault="0033620F" w:rsidP="0033620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60B57A95"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needs cautious interpretation because the descriptive association is clear, but the threshold and decline language may overstate causal interpretation from observational data.</w:t>
      </w:r>
    </w:p>
    <w:p w14:paraId="0F488293" w14:textId="77777777" w:rsidR="0033620F" w:rsidRDefault="0033620F" w:rsidP="0033620F">
      <w:pPr>
        <w:spacing w:after="0" w:line="240" w:lineRule="auto"/>
        <w:rPr>
          <w:rFonts w:ascii="Times New Roman" w:eastAsia="Times New Roman" w:hAnsi="Times New Roman" w:cs="Times New Roman"/>
          <w:kern w:val="0"/>
          <w14:ligatures w14:val="none"/>
        </w:rPr>
      </w:pPr>
    </w:p>
    <w:p w14:paraId="2A338576" w14:textId="77777777" w:rsidR="0033620F" w:rsidRDefault="0033620F" w:rsidP="0033620F">
      <w:pPr>
        <w:spacing w:after="0" w:line="240" w:lineRule="auto"/>
        <w:rPr>
          <w:rFonts w:ascii="Times New Roman" w:eastAsia="Times New Roman" w:hAnsi="Times New Roman" w:cs="Times New Roman"/>
          <w:kern w:val="0"/>
          <w14:ligatures w14:val="none"/>
        </w:rPr>
      </w:pPr>
    </w:p>
    <w:p w14:paraId="138A9758" w14:textId="77777777" w:rsidR="0033620F" w:rsidRDefault="0033620F" w:rsidP="0033620F">
      <w:pPr>
        <w:pStyle w:val="ListParagraph"/>
        <w:numPr>
          <w:ilvl w:val="0"/>
          <w:numId w:val="1"/>
        </w:numPr>
        <w:rPr>
          <w:rFonts w:ascii="Times New Roman" w:eastAsia="Times New Roman" w:hAnsi="Times New Roman" w:cs="Times New Roman"/>
          <w:b/>
          <w:bCs/>
          <w:kern w:val="0"/>
          <w14:ligatures w14:val="none"/>
        </w:rPr>
      </w:pPr>
      <w:r w:rsidRPr="00FA39CE">
        <w:rPr>
          <w:rFonts w:ascii="Times New Roman" w:eastAsia="Times New Roman" w:hAnsi="Times New Roman" w:cs="Times New Roman"/>
          <w:b/>
          <w:bCs/>
          <w:kern w:val="0"/>
          <w14:ligatures w14:val="none"/>
        </w:rPr>
        <w:t>LaCour &amp; Green</w:t>
      </w:r>
    </w:p>
    <w:p w14:paraId="7734FD67" w14:textId="77777777" w:rsidR="0033620F" w:rsidRPr="0033620F" w:rsidRDefault="0033620F" w:rsidP="0033620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46EA4956"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Questionable</w:t>
      </w:r>
    </w:p>
    <w:p w14:paraId="250C37E5" w14:textId="77777777" w:rsidR="0033620F" w:rsidRPr="0033620F" w:rsidRDefault="0033620F" w:rsidP="0033620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60C902E3"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reports a randomized placebo-controlled design, which supports causal claims in principle, but the wording is unusually strong for an abstract that provides no effect sizes, </w:t>
      </w:r>
      <w:r w:rsidRPr="0033620F">
        <w:rPr>
          <w:rFonts w:ascii="Times New Roman" w:eastAsia="Times New Roman" w:hAnsi="Times New Roman" w:cs="Times New Roman"/>
          <w:kern w:val="0"/>
          <w14:ligatures w14:val="none"/>
        </w:rPr>
        <w:lastRenderedPageBreak/>
        <w:t>confidence intervals, p-values, attrition information, or details about the follow-up experiment. Claims such as “contagious effects,” “caused substantial change,” and “cascade of opinion change” may overstate what can be assessed from the abstract alone.</w:t>
      </w:r>
    </w:p>
    <w:p w14:paraId="1A80AF3C" w14:textId="77777777" w:rsidR="0033620F" w:rsidRPr="0033620F" w:rsidRDefault="0033620F" w:rsidP="0033620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55CF526F"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a randomized trial was conducted to test whether canvassing conversations affected attitudes toward same-sex marriage, and it reports that effects differed by messenger identity, persistence over time, and within-household transmission.</w:t>
      </w:r>
    </w:p>
    <w:p w14:paraId="0D9A4AAA" w14:textId="77777777" w:rsidR="0033620F" w:rsidRPr="0033620F" w:rsidRDefault="0033620F" w:rsidP="0033620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732F032B" w14:textId="77777777" w:rsidR="0033620F" w:rsidRPr="0033620F" w:rsidRDefault="0033620F" w:rsidP="0033620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the effect sizes, confidence intervals, p-values, and attrition across follow-up waves. </w:t>
      </w:r>
    </w:p>
    <w:p w14:paraId="6D99774A" w14:textId="77777777" w:rsidR="0033620F" w:rsidRPr="0033620F" w:rsidRDefault="0033620F" w:rsidP="0033620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“within-household transmission” was measured and whether alternative explanations were addressed. </w:t>
      </w:r>
    </w:p>
    <w:p w14:paraId="338236AA" w14:textId="77777777" w:rsidR="0033620F" w:rsidRPr="0033620F" w:rsidRDefault="0033620F" w:rsidP="0033620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the design, sample size, and independence of the follow-up experiment. </w:t>
      </w:r>
    </w:p>
    <w:p w14:paraId="2577D713" w14:textId="77777777" w:rsidR="0033620F" w:rsidRPr="0033620F" w:rsidRDefault="0033620F" w:rsidP="0033620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0182BA0A"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In this randomized trial, canvassing conversations were reported to increase support for same-sex marriage, with more persistent and within-household effects observed after conversations with gay canvassers than with straight canvassers.</w:t>
      </w:r>
    </w:p>
    <w:p w14:paraId="0F27C5B6" w14:textId="77777777" w:rsidR="0033620F" w:rsidRPr="0033620F" w:rsidRDefault="0033620F" w:rsidP="0033620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03D893D0"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needs cautious interpretation because it makes strong claims about persistence, transmission, and broader cascades of opinion change without providing enough statistical detail in the abstract to assess the strength of those claims.</w:t>
      </w:r>
    </w:p>
    <w:p w14:paraId="60568FE7" w14:textId="77777777" w:rsidR="0033620F" w:rsidRPr="00BD5942" w:rsidRDefault="0033620F" w:rsidP="0033620F">
      <w:pPr>
        <w:shd w:val="clear" w:color="auto" w:fill="FFFFFF"/>
        <w:spacing w:after="100" w:afterAutospacing="1" w:line="240" w:lineRule="auto"/>
        <w:rPr>
          <w:rFonts w:ascii="Inter" w:eastAsia="Times New Roman" w:hAnsi="Inter" w:cs="Times New Roman"/>
          <w:color w:val="1F2D3D"/>
          <w:kern w:val="0"/>
          <w14:ligatures w14:val="none"/>
        </w:rPr>
      </w:pPr>
    </w:p>
    <w:p w14:paraId="73DB7AA4" w14:textId="77777777" w:rsidR="0033620F" w:rsidRPr="0033620F" w:rsidRDefault="0033620F" w:rsidP="0033620F">
      <w:pPr>
        <w:pStyle w:val="ListParagraph"/>
        <w:numPr>
          <w:ilvl w:val="0"/>
          <w:numId w:val="2"/>
        </w:numPr>
        <w:rPr>
          <w:b/>
          <w:bCs/>
        </w:rPr>
      </w:pPr>
      <w:r w:rsidRPr="0033620F">
        <w:rPr>
          <w:b/>
          <w:bCs/>
        </w:rPr>
        <w:t>Randomized Trial of Early Detection and Treatment of Postpartum Hemorrhage</w:t>
      </w:r>
    </w:p>
    <w:p w14:paraId="0EBDAFBB" w14:textId="77777777" w:rsidR="0033620F" w:rsidRPr="0033620F" w:rsidRDefault="0033620F" w:rsidP="0033620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1E0B4EF6"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Supported</w:t>
      </w:r>
    </w:p>
    <w:p w14:paraId="32E0E56C" w14:textId="77777777" w:rsidR="0033620F" w:rsidRPr="0033620F" w:rsidRDefault="0033620F" w:rsidP="0033620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78CE2098"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appropriately reports a cluster-randomized design, a large sample, a clearly defined primary composite outcome, and a risk ratio with confidence interval and p-value. The main caution is that the intervention was multicomponent, so the abstract supports the combined strategy rather than isolating the effect of the drape, the bundle, or the implementation strategy separately.</w:t>
      </w:r>
    </w:p>
    <w:p w14:paraId="16C5688C" w14:textId="77777777" w:rsidR="0033620F" w:rsidRPr="0033620F" w:rsidRDefault="0033620F" w:rsidP="0033620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lastRenderedPageBreak/>
        <w:t xml:space="preserve">What the abstract supports </w:t>
      </w:r>
    </w:p>
    <w:p w14:paraId="2E4889F8"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among patients having vaginal delivery in the studied hospitals, the multicomponent intervention was associated with a lower risk of the composite primary outcome compared with usual care.</w:t>
      </w:r>
    </w:p>
    <w:p w14:paraId="2FE1B108" w14:textId="77777777" w:rsidR="0033620F" w:rsidRPr="0033620F" w:rsidRDefault="0033620F" w:rsidP="0033620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005153C1" w14:textId="77777777" w:rsidR="0033620F" w:rsidRPr="0033620F" w:rsidRDefault="0033620F" w:rsidP="0033620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the primary composite result was mainly driven by severe postpartum hemorrhage rather than laparotomy or maternal death. </w:t>
      </w:r>
    </w:p>
    <w:p w14:paraId="4B06D067" w14:textId="77777777" w:rsidR="0033620F" w:rsidRPr="0033620F" w:rsidRDefault="0033620F" w:rsidP="0033620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clustering, baseline hospital differences, and missing outcome data were handled. </w:t>
      </w:r>
    </w:p>
    <w:p w14:paraId="5F75EF96" w14:textId="77777777" w:rsidR="0033620F" w:rsidRPr="0033620F" w:rsidRDefault="0033620F" w:rsidP="0033620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results were consistent across countries and hospital settings. </w:t>
      </w:r>
    </w:p>
    <w:p w14:paraId="4A75327F" w14:textId="77777777" w:rsidR="0033620F" w:rsidRPr="0033620F" w:rsidRDefault="0033620F" w:rsidP="0033620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0D1F0649"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Among patients having vaginal delivery in secondary-level hospitals in four African countries, a multicomponent strategy for early postpartum hemorrhage detection and bundled treatment reduced the risk of severe postpartum hemorrhage, laparotomy for bleeding, or death from bleeding compared with usual care.</w:t>
      </w:r>
    </w:p>
    <w:p w14:paraId="7A40D151" w14:textId="77777777" w:rsidR="0033620F" w:rsidRPr="0033620F" w:rsidRDefault="0033620F" w:rsidP="0033620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23AB1679"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is statistically </w:t>
      </w:r>
      <w:proofErr w:type="gramStart"/>
      <w:r w:rsidRPr="0033620F">
        <w:rPr>
          <w:rFonts w:ascii="Times New Roman" w:eastAsia="Times New Roman" w:hAnsi="Times New Roman" w:cs="Times New Roman"/>
          <w:kern w:val="0"/>
          <w14:ligatures w14:val="none"/>
        </w:rPr>
        <w:t>reasonable</w:t>
      </w:r>
      <w:proofErr w:type="gramEnd"/>
      <w:r w:rsidRPr="0033620F">
        <w:rPr>
          <w:rFonts w:ascii="Times New Roman" w:eastAsia="Times New Roman" w:hAnsi="Times New Roman" w:cs="Times New Roman"/>
          <w:kern w:val="0"/>
          <w14:ligatures w14:val="none"/>
        </w:rPr>
        <w:t xml:space="preserve"> and the main conclusion is supported, with cautious interpretation needed because the intervention is multicomponent and the primary endpoint is a composite.</w:t>
      </w:r>
    </w:p>
    <w:p w14:paraId="2BA3EC62" w14:textId="77777777" w:rsidR="0033620F" w:rsidRDefault="0033620F" w:rsidP="0033620F"/>
    <w:p w14:paraId="6D0D9CBD" w14:textId="77777777" w:rsidR="0033620F" w:rsidRDefault="0033620F" w:rsidP="0033620F">
      <w:pPr>
        <w:pStyle w:val="ListParagraph"/>
        <w:numPr>
          <w:ilvl w:val="0"/>
          <w:numId w:val="2"/>
        </w:numPr>
      </w:pPr>
      <w:r>
        <w:t xml:space="preserve">Phase 3 Trial of </w:t>
      </w:r>
      <w:proofErr w:type="spellStart"/>
      <w:r>
        <w:t>Sotatercept</w:t>
      </w:r>
      <w:proofErr w:type="spellEnd"/>
      <w:r>
        <w:t xml:space="preserve"> for Treatment of Pulmonary Arterial Hypertension</w:t>
      </w:r>
    </w:p>
    <w:p w14:paraId="61AEE0FF" w14:textId="77777777" w:rsidR="0033620F" w:rsidRPr="0033620F" w:rsidRDefault="0033620F" w:rsidP="0033620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0CFA8D67"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Supported</w:t>
      </w:r>
    </w:p>
    <w:p w14:paraId="030F5814" w14:textId="77777777" w:rsidR="0033620F" w:rsidRPr="0033620F" w:rsidRDefault="0033620F" w:rsidP="0033620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7EB29875"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primary claim is appropriately focused on the prespecified primary endpoint: change in 6-minute walk distance at week 24. The abstract avoids overstating mortality benefit and correctly frames the result as improved exercise capacity rather than cure, survival improvement, or long-term disease modification.</w:t>
      </w:r>
    </w:p>
    <w:p w14:paraId="248FAC41" w14:textId="77777777" w:rsidR="0033620F" w:rsidRPr="0033620F" w:rsidRDefault="0033620F" w:rsidP="0033620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36D00BA9"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lastRenderedPageBreak/>
        <w:t xml:space="preserve">The abstract supports that </w:t>
      </w:r>
      <w:proofErr w:type="spellStart"/>
      <w:r w:rsidRPr="0033620F">
        <w:rPr>
          <w:rFonts w:ascii="Times New Roman" w:eastAsia="Times New Roman" w:hAnsi="Times New Roman" w:cs="Times New Roman"/>
          <w:kern w:val="0"/>
          <w14:ligatures w14:val="none"/>
        </w:rPr>
        <w:t>sotatercept</w:t>
      </w:r>
      <w:proofErr w:type="spellEnd"/>
      <w:r w:rsidRPr="0033620F">
        <w:rPr>
          <w:rFonts w:ascii="Times New Roman" w:eastAsia="Times New Roman" w:hAnsi="Times New Roman" w:cs="Times New Roman"/>
          <w:kern w:val="0"/>
          <w14:ligatures w14:val="none"/>
        </w:rPr>
        <w:t>, added to stable background therapy, improved 6-minute walk distance at 24 weeks compared with placebo in adults with WHO functional class II or III pulmonary arterial hypertension.</w:t>
      </w:r>
    </w:p>
    <w:p w14:paraId="665C2843" w14:textId="77777777" w:rsidR="0033620F" w:rsidRPr="0033620F" w:rsidRDefault="0033620F" w:rsidP="0033620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78817252" w14:textId="77777777" w:rsidR="0033620F" w:rsidRPr="0033620F" w:rsidRDefault="0033620F" w:rsidP="0033620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missing 6-minute walk distance data were handled. </w:t>
      </w:r>
    </w:p>
    <w:p w14:paraId="190BA7C8" w14:textId="77777777" w:rsidR="0033620F" w:rsidRPr="0033620F" w:rsidRDefault="0033620F" w:rsidP="0033620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“time to death or clinical worsening” was driven mainly by nonfatal clinical worsening rather than death. </w:t>
      </w:r>
    </w:p>
    <w:p w14:paraId="6F305E06" w14:textId="77777777" w:rsidR="0033620F" w:rsidRPr="0033620F" w:rsidRDefault="0033620F" w:rsidP="0033620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the clinical importance and durability of the secondary and patient-reported outcome improvements. </w:t>
      </w:r>
    </w:p>
    <w:p w14:paraId="2D93F920" w14:textId="77777777" w:rsidR="0033620F" w:rsidRPr="0033620F" w:rsidRDefault="0033620F" w:rsidP="0033620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20C91E83"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In adults with WHO functional class II or III pulmonary arterial hypertension receiving stable background therapy, </w:t>
      </w:r>
      <w:proofErr w:type="spellStart"/>
      <w:r w:rsidRPr="0033620F">
        <w:rPr>
          <w:rFonts w:ascii="Times New Roman" w:eastAsia="Times New Roman" w:hAnsi="Times New Roman" w:cs="Times New Roman"/>
          <w:kern w:val="0"/>
          <w14:ligatures w14:val="none"/>
        </w:rPr>
        <w:t>sotatercept</w:t>
      </w:r>
      <w:proofErr w:type="spellEnd"/>
      <w:r w:rsidRPr="0033620F">
        <w:rPr>
          <w:rFonts w:ascii="Times New Roman" w:eastAsia="Times New Roman" w:hAnsi="Times New Roman" w:cs="Times New Roman"/>
          <w:kern w:val="0"/>
          <w14:ligatures w14:val="none"/>
        </w:rPr>
        <w:t xml:space="preserve"> improved 6-minute walk distance at 24 weeks compared with placebo, with several secondary endpoints also favoring </w:t>
      </w:r>
      <w:proofErr w:type="spellStart"/>
      <w:r w:rsidRPr="0033620F">
        <w:rPr>
          <w:rFonts w:ascii="Times New Roman" w:eastAsia="Times New Roman" w:hAnsi="Times New Roman" w:cs="Times New Roman"/>
          <w:kern w:val="0"/>
          <w14:ligatures w14:val="none"/>
        </w:rPr>
        <w:t>sotatercept</w:t>
      </w:r>
      <w:proofErr w:type="spellEnd"/>
      <w:r w:rsidRPr="0033620F">
        <w:rPr>
          <w:rFonts w:ascii="Times New Roman" w:eastAsia="Times New Roman" w:hAnsi="Times New Roman" w:cs="Times New Roman"/>
          <w:kern w:val="0"/>
          <w14:ligatures w14:val="none"/>
        </w:rPr>
        <w:t>.</w:t>
      </w:r>
    </w:p>
    <w:p w14:paraId="5EA451EB" w14:textId="77777777" w:rsidR="0033620F" w:rsidRPr="0033620F" w:rsidRDefault="0033620F" w:rsidP="0033620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60E78567"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is statistically </w:t>
      </w:r>
      <w:proofErr w:type="gramStart"/>
      <w:r w:rsidRPr="0033620F">
        <w:rPr>
          <w:rFonts w:ascii="Times New Roman" w:eastAsia="Times New Roman" w:hAnsi="Times New Roman" w:cs="Times New Roman"/>
          <w:kern w:val="0"/>
          <w14:ligatures w14:val="none"/>
        </w:rPr>
        <w:t>reasonable</w:t>
      </w:r>
      <w:proofErr w:type="gramEnd"/>
      <w:r w:rsidRPr="0033620F">
        <w:rPr>
          <w:rFonts w:ascii="Times New Roman" w:eastAsia="Times New Roman" w:hAnsi="Times New Roman" w:cs="Times New Roman"/>
          <w:kern w:val="0"/>
          <w14:ligatures w14:val="none"/>
        </w:rPr>
        <w:t xml:space="preserve"> and the main conclusion is supported, with cautious interpretation needed for long-term outcomes, mortality-related implications, and adverse-event monitoring.</w:t>
      </w:r>
    </w:p>
    <w:p w14:paraId="44542FC5" w14:textId="77777777" w:rsidR="0033620F" w:rsidRDefault="0033620F" w:rsidP="0033620F"/>
    <w:p w14:paraId="046CF377" w14:textId="77777777" w:rsidR="0033620F" w:rsidRDefault="0033620F" w:rsidP="0033620F">
      <w:pPr>
        <w:pStyle w:val="ListParagraph"/>
        <w:numPr>
          <w:ilvl w:val="0"/>
          <w:numId w:val="2"/>
        </w:numPr>
      </w:pPr>
      <w:r>
        <w:t>Cardiovascular and renal Outcomes with Empagliflozin in Heart Failure</w:t>
      </w:r>
    </w:p>
    <w:p w14:paraId="37FD92D4" w14:textId="77777777" w:rsidR="0033620F" w:rsidRPr="0033620F" w:rsidRDefault="0033620F" w:rsidP="003362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15F69C92"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Supported</w:t>
      </w:r>
    </w:p>
    <w:p w14:paraId="30E14071" w14:textId="77777777" w:rsidR="0033620F" w:rsidRPr="0033620F" w:rsidRDefault="0033620F" w:rsidP="0033620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4C71F9C1"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primary claim is appropriately based on a randomized, double-blind trial with a clearly stated primary composite endpoint, sample size, hazard ratio, confidence interval, and p-value. The main caution is that the abstract conclusion refers to the composite outcome, so it should not be interpreted as proving a reduction in cardiovascular death alone.</w:t>
      </w:r>
    </w:p>
    <w:p w14:paraId="4B873EA0" w14:textId="77777777" w:rsidR="0033620F" w:rsidRPr="0033620F" w:rsidRDefault="0033620F" w:rsidP="003362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1E7A4DFA"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abstract supports that, among patients with class II–IV heart failure and ejection fraction of 40% or less who were receiving recommended therapy, empagliflozin reduced the risk of the composite outcome of cardiovascular death or hospitalization for heart failure compared with placebo.</w:t>
      </w:r>
    </w:p>
    <w:p w14:paraId="550E3F18" w14:textId="77777777" w:rsidR="0033620F" w:rsidRPr="0033620F" w:rsidRDefault="0033620F" w:rsidP="003362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lastRenderedPageBreak/>
        <w:t xml:space="preserve">What requires caution </w:t>
      </w:r>
    </w:p>
    <w:p w14:paraId="1E975C4E" w14:textId="77777777" w:rsidR="0033620F" w:rsidRPr="0033620F" w:rsidRDefault="0033620F" w:rsidP="0033620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the composite benefit was driven mainly by hospitalization rather than cardiovascular death. </w:t>
      </w:r>
    </w:p>
    <w:p w14:paraId="2FBCD4FC" w14:textId="77777777" w:rsidR="0033620F" w:rsidRPr="0033620F" w:rsidRDefault="0033620F" w:rsidP="0033620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how “consistent regardless of diabetes status” was assessed, especially subgroup interaction testing. </w:t>
      </w:r>
    </w:p>
    <w:p w14:paraId="7A43874F" w14:textId="77777777" w:rsidR="0033620F" w:rsidRPr="0033620F" w:rsidRDefault="0033620F" w:rsidP="0033620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the renal outcomes were part of a prespecified testing hierarchy or should be interpreted as secondary/supportive. </w:t>
      </w:r>
    </w:p>
    <w:p w14:paraId="0BAAD1A5" w14:textId="77777777" w:rsidR="0033620F" w:rsidRPr="0033620F" w:rsidRDefault="0033620F" w:rsidP="0033620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333968A8"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Among patients with heart failure and reduced ejection fraction receiving recommended therapy, empagliflozin reduced the composite risk of cardiovascular death or hospitalization for heart failure compared with placebo, with similar findings reported in patients with and without diabetes.</w:t>
      </w:r>
    </w:p>
    <w:p w14:paraId="3C70B3F9" w14:textId="77777777" w:rsidR="0033620F" w:rsidRPr="0033620F" w:rsidRDefault="0033620F" w:rsidP="0033620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4AB5211C"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is statistically </w:t>
      </w:r>
      <w:proofErr w:type="gramStart"/>
      <w:r w:rsidRPr="0033620F">
        <w:rPr>
          <w:rFonts w:ascii="Times New Roman" w:eastAsia="Times New Roman" w:hAnsi="Times New Roman" w:cs="Times New Roman"/>
          <w:kern w:val="0"/>
          <w14:ligatures w14:val="none"/>
        </w:rPr>
        <w:t>reasonable</w:t>
      </w:r>
      <w:proofErr w:type="gramEnd"/>
      <w:r w:rsidRPr="0033620F">
        <w:rPr>
          <w:rFonts w:ascii="Times New Roman" w:eastAsia="Times New Roman" w:hAnsi="Times New Roman" w:cs="Times New Roman"/>
          <w:kern w:val="0"/>
          <w14:ligatures w14:val="none"/>
        </w:rPr>
        <w:t xml:space="preserve"> and the main claim is supported, with cautious interpretation needed for the composite endpoint and secondary renal findings.</w:t>
      </w:r>
    </w:p>
    <w:p w14:paraId="490ECE47" w14:textId="77777777" w:rsidR="0033620F" w:rsidRDefault="0033620F" w:rsidP="0033620F"/>
    <w:p w14:paraId="5248C9F0" w14:textId="77777777" w:rsidR="0033620F" w:rsidRPr="00BD5942" w:rsidRDefault="0033620F" w:rsidP="0033620F">
      <w:pPr>
        <w:pStyle w:val="ListParagraph"/>
        <w:numPr>
          <w:ilvl w:val="0"/>
          <w:numId w:val="2"/>
        </w:numPr>
      </w:pPr>
      <w:proofErr w:type="spellStart"/>
      <w:r>
        <w:t>Polatuzumab</w:t>
      </w:r>
      <w:proofErr w:type="spellEnd"/>
      <w:r>
        <w:t xml:space="preserve"> Vedotin in Previously Untreated Diffuse Large B-Cell Lymphoma</w:t>
      </w:r>
    </w:p>
    <w:p w14:paraId="30635971" w14:textId="77777777" w:rsidR="0033620F" w:rsidRPr="0033620F" w:rsidRDefault="0033620F" w:rsidP="0033620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Verdict </w:t>
      </w:r>
    </w:p>
    <w:p w14:paraId="6E6B0CA7"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b/>
          <w:bCs/>
          <w:kern w:val="0"/>
          <w14:ligatures w14:val="none"/>
        </w:rPr>
        <w:t>Supported</w:t>
      </w:r>
    </w:p>
    <w:p w14:paraId="1BD1633F" w14:textId="77777777" w:rsidR="0033620F" w:rsidRPr="0033620F" w:rsidRDefault="0033620F" w:rsidP="0033620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Main issue </w:t>
      </w:r>
    </w:p>
    <w:p w14:paraId="4AD93609"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The primary claim is appropriately tied to the randomized phase 3 design and the primary endpoint of investigator-assessed progression-free survival. The main caution is that the abstract supports improved progression-free survival, not improved overall survival, since overall survival did not differ significantly.</w:t>
      </w:r>
    </w:p>
    <w:p w14:paraId="09FAE26C" w14:textId="77777777" w:rsidR="0033620F" w:rsidRPr="0033620F" w:rsidRDefault="0033620F" w:rsidP="0033620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the abstract supports </w:t>
      </w:r>
    </w:p>
    <w:p w14:paraId="78CCF2F7"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supports that </w:t>
      </w:r>
      <w:proofErr w:type="spellStart"/>
      <w:r w:rsidRPr="0033620F">
        <w:rPr>
          <w:rFonts w:ascii="Times New Roman" w:eastAsia="Times New Roman" w:hAnsi="Times New Roman" w:cs="Times New Roman"/>
          <w:kern w:val="0"/>
          <w14:ligatures w14:val="none"/>
        </w:rPr>
        <w:t>pola</w:t>
      </w:r>
      <w:proofErr w:type="spellEnd"/>
      <w:r w:rsidRPr="0033620F">
        <w:rPr>
          <w:rFonts w:ascii="Times New Roman" w:eastAsia="Times New Roman" w:hAnsi="Times New Roman" w:cs="Times New Roman"/>
          <w:kern w:val="0"/>
          <w14:ligatures w14:val="none"/>
        </w:rPr>
        <w:t>-R-CHP lowered the risk of progression, relapse, or death compared with R-CHOP in previously untreated intermediate-risk or high-risk DLBCL, with a modest absolute improvement in 2-year progression-free survival.</w:t>
      </w:r>
    </w:p>
    <w:p w14:paraId="6991F499" w14:textId="77777777" w:rsidR="0033620F" w:rsidRPr="0033620F" w:rsidRDefault="0033620F" w:rsidP="0033620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What requires caution </w:t>
      </w:r>
    </w:p>
    <w:p w14:paraId="1F618FFD" w14:textId="77777777" w:rsidR="0033620F" w:rsidRPr="0033620F" w:rsidRDefault="0033620F" w:rsidP="0033620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investigator-assessed progression-free survival was supported by blinded independent review or sensitivity analyses. </w:t>
      </w:r>
    </w:p>
    <w:p w14:paraId="7CDDA0CB" w14:textId="77777777" w:rsidR="0033620F" w:rsidRPr="0033620F" w:rsidRDefault="0033620F" w:rsidP="0033620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lastRenderedPageBreak/>
        <w:t xml:space="preserve">Verify in the full paper how missing assessments and censoring were handled. </w:t>
      </w:r>
    </w:p>
    <w:p w14:paraId="5D6E7B50" w14:textId="77777777" w:rsidR="0033620F" w:rsidRPr="0033620F" w:rsidRDefault="0033620F" w:rsidP="0033620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Verify in the full paper whether subgroup findings were exploratory and whether any interaction tests were performed. </w:t>
      </w:r>
    </w:p>
    <w:p w14:paraId="727D97BB" w14:textId="77777777" w:rsidR="0033620F" w:rsidRPr="0033620F" w:rsidRDefault="0033620F" w:rsidP="0033620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Safer wording </w:t>
      </w:r>
    </w:p>
    <w:p w14:paraId="5732E1CF"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Among patients with previously untreated intermediate-risk or high-risk DLBCL, </w:t>
      </w:r>
      <w:proofErr w:type="spellStart"/>
      <w:r w:rsidRPr="0033620F">
        <w:rPr>
          <w:rFonts w:ascii="Times New Roman" w:eastAsia="Times New Roman" w:hAnsi="Times New Roman" w:cs="Times New Roman"/>
          <w:kern w:val="0"/>
          <w14:ligatures w14:val="none"/>
        </w:rPr>
        <w:t>pola</w:t>
      </w:r>
      <w:proofErr w:type="spellEnd"/>
      <w:r w:rsidRPr="0033620F">
        <w:rPr>
          <w:rFonts w:ascii="Times New Roman" w:eastAsia="Times New Roman" w:hAnsi="Times New Roman" w:cs="Times New Roman"/>
          <w:kern w:val="0"/>
          <w14:ligatures w14:val="none"/>
        </w:rPr>
        <w:t>-R-CHP improved progression-free survival compared with R-CHOP, but overall survival was not significantly different at the reported follow-up.</w:t>
      </w:r>
    </w:p>
    <w:p w14:paraId="560DAC39" w14:textId="77777777" w:rsidR="0033620F" w:rsidRPr="0033620F" w:rsidRDefault="0033620F" w:rsidP="0033620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Final assessment </w:t>
      </w:r>
    </w:p>
    <w:p w14:paraId="6594E15E" w14:textId="77777777" w:rsidR="0033620F" w:rsidRPr="0033620F" w:rsidRDefault="0033620F" w:rsidP="0033620F">
      <w:pPr>
        <w:spacing w:before="100" w:beforeAutospacing="1" w:after="100" w:afterAutospacing="1" w:line="240" w:lineRule="auto"/>
        <w:rPr>
          <w:rFonts w:ascii="Times New Roman" w:eastAsia="Times New Roman" w:hAnsi="Times New Roman" w:cs="Times New Roman"/>
          <w:kern w:val="0"/>
          <w14:ligatures w14:val="none"/>
        </w:rPr>
      </w:pPr>
      <w:r w:rsidRPr="0033620F">
        <w:rPr>
          <w:rFonts w:ascii="Times New Roman" w:eastAsia="Times New Roman" w:hAnsi="Times New Roman" w:cs="Times New Roman"/>
          <w:kern w:val="0"/>
          <w14:ligatures w14:val="none"/>
        </w:rPr>
        <w:t xml:space="preserve">The abstract is statistically </w:t>
      </w:r>
      <w:proofErr w:type="gramStart"/>
      <w:r w:rsidRPr="0033620F">
        <w:rPr>
          <w:rFonts w:ascii="Times New Roman" w:eastAsia="Times New Roman" w:hAnsi="Times New Roman" w:cs="Times New Roman"/>
          <w:kern w:val="0"/>
          <w14:ligatures w14:val="none"/>
        </w:rPr>
        <w:t>reasonable</w:t>
      </w:r>
      <w:proofErr w:type="gramEnd"/>
      <w:r w:rsidRPr="0033620F">
        <w:rPr>
          <w:rFonts w:ascii="Times New Roman" w:eastAsia="Times New Roman" w:hAnsi="Times New Roman" w:cs="Times New Roman"/>
          <w:kern w:val="0"/>
          <w14:ligatures w14:val="none"/>
        </w:rPr>
        <w:t xml:space="preserve"> and the main conclusion is supported, with cautious interpretation needed regarding clinical magnitude, investigator-assessed progression-free survival, and the absence of an overall survival benefit.</w:t>
      </w:r>
    </w:p>
    <w:p w14:paraId="760227F6" w14:textId="77777777" w:rsidR="00E82D73" w:rsidRDefault="00E82D73">
      <w:pPr>
        <w:rPr>
          <w:rFonts w:hint="eastAsia"/>
        </w:rPr>
      </w:pPr>
    </w:p>
    <w:sectPr w:rsidR="00E82D73" w:rsidSect="00336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33A"/>
    <w:multiLevelType w:val="multilevel"/>
    <w:tmpl w:val="10F86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F4D7F"/>
    <w:multiLevelType w:val="multilevel"/>
    <w:tmpl w:val="928685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3367"/>
    <w:multiLevelType w:val="hybridMultilevel"/>
    <w:tmpl w:val="70CA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E31BD"/>
    <w:multiLevelType w:val="multilevel"/>
    <w:tmpl w:val="DEE80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03980"/>
    <w:multiLevelType w:val="multilevel"/>
    <w:tmpl w:val="66564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F7FF8"/>
    <w:multiLevelType w:val="multilevel"/>
    <w:tmpl w:val="2EFE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D3148"/>
    <w:multiLevelType w:val="multilevel"/>
    <w:tmpl w:val="B234F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17B5E"/>
    <w:multiLevelType w:val="multilevel"/>
    <w:tmpl w:val="4E243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9281F"/>
    <w:multiLevelType w:val="multilevel"/>
    <w:tmpl w:val="ABC0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36A0B"/>
    <w:multiLevelType w:val="multilevel"/>
    <w:tmpl w:val="EFF2A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7583E"/>
    <w:multiLevelType w:val="hybridMultilevel"/>
    <w:tmpl w:val="1648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97FA1"/>
    <w:multiLevelType w:val="multilevel"/>
    <w:tmpl w:val="1C44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34EE5"/>
    <w:multiLevelType w:val="multilevel"/>
    <w:tmpl w:val="F58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2051E"/>
    <w:multiLevelType w:val="multilevel"/>
    <w:tmpl w:val="FD24D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B6105"/>
    <w:multiLevelType w:val="multilevel"/>
    <w:tmpl w:val="8DA67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F7C95"/>
    <w:multiLevelType w:val="multilevel"/>
    <w:tmpl w:val="87DA3B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3439BB"/>
    <w:multiLevelType w:val="multilevel"/>
    <w:tmpl w:val="000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D3047"/>
    <w:multiLevelType w:val="multilevel"/>
    <w:tmpl w:val="8960B1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65358"/>
    <w:multiLevelType w:val="multilevel"/>
    <w:tmpl w:val="56F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A1A99"/>
    <w:multiLevelType w:val="multilevel"/>
    <w:tmpl w:val="3B6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B5EFF"/>
    <w:multiLevelType w:val="multilevel"/>
    <w:tmpl w:val="6676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A5924"/>
    <w:multiLevelType w:val="multilevel"/>
    <w:tmpl w:val="ED56A5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57D88"/>
    <w:multiLevelType w:val="multilevel"/>
    <w:tmpl w:val="5232B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0A1389"/>
    <w:multiLevelType w:val="multilevel"/>
    <w:tmpl w:val="3BB63D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440651"/>
    <w:multiLevelType w:val="multilevel"/>
    <w:tmpl w:val="EF8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005F5"/>
    <w:multiLevelType w:val="multilevel"/>
    <w:tmpl w:val="837839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340936"/>
    <w:multiLevelType w:val="multilevel"/>
    <w:tmpl w:val="FB685F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B66627"/>
    <w:multiLevelType w:val="multilevel"/>
    <w:tmpl w:val="6B8AEE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F16D2E"/>
    <w:multiLevelType w:val="multilevel"/>
    <w:tmpl w:val="A9F0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D819A7"/>
    <w:multiLevelType w:val="multilevel"/>
    <w:tmpl w:val="AA865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C62E6F"/>
    <w:multiLevelType w:val="multilevel"/>
    <w:tmpl w:val="282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D280B"/>
    <w:multiLevelType w:val="multilevel"/>
    <w:tmpl w:val="E4309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F06BD"/>
    <w:multiLevelType w:val="multilevel"/>
    <w:tmpl w:val="4CA2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B652E"/>
    <w:multiLevelType w:val="multilevel"/>
    <w:tmpl w:val="DAC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A3F3E"/>
    <w:multiLevelType w:val="multilevel"/>
    <w:tmpl w:val="E2E03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E55B61"/>
    <w:multiLevelType w:val="multilevel"/>
    <w:tmpl w:val="A4109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905D46"/>
    <w:multiLevelType w:val="multilevel"/>
    <w:tmpl w:val="141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7496A"/>
    <w:multiLevelType w:val="multilevel"/>
    <w:tmpl w:val="7CA8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52B23"/>
    <w:multiLevelType w:val="multilevel"/>
    <w:tmpl w:val="361E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2D512A"/>
    <w:multiLevelType w:val="multilevel"/>
    <w:tmpl w:val="EE48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2A350F"/>
    <w:multiLevelType w:val="multilevel"/>
    <w:tmpl w:val="A036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836D5B"/>
    <w:multiLevelType w:val="multilevel"/>
    <w:tmpl w:val="F172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F145F9"/>
    <w:multiLevelType w:val="multilevel"/>
    <w:tmpl w:val="5DD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D5768B"/>
    <w:multiLevelType w:val="multilevel"/>
    <w:tmpl w:val="EA52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453AD6"/>
    <w:multiLevelType w:val="multilevel"/>
    <w:tmpl w:val="AE1012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6E31AF"/>
    <w:multiLevelType w:val="multilevel"/>
    <w:tmpl w:val="789EBC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725907"/>
    <w:multiLevelType w:val="multilevel"/>
    <w:tmpl w:val="6E3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F5D3D"/>
    <w:multiLevelType w:val="multilevel"/>
    <w:tmpl w:val="61D81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0D7005"/>
    <w:multiLevelType w:val="multilevel"/>
    <w:tmpl w:val="A3CA1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F346C"/>
    <w:multiLevelType w:val="multilevel"/>
    <w:tmpl w:val="8B5608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395E67"/>
    <w:multiLevelType w:val="multilevel"/>
    <w:tmpl w:val="D014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E41721"/>
    <w:multiLevelType w:val="multilevel"/>
    <w:tmpl w:val="1B701E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EC396E"/>
    <w:multiLevelType w:val="multilevel"/>
    <w:tmpl w:val="01F20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61068B"/>
    <w:multiLevelType w:val="multilevel"/>
    <w:tmpl w:val="6B7E38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96738D"/>
    <w:multiLevelType w:val="multilevel"/>
    <w:tmpl w:val="79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25D25"/>
    <w:multiLevelType w:val="multilevel"/>
    <w:tmpl w:val="32401E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0B78F0"/>
    <w:multiLevelType w:val="multilevel"/>
    <w:tmpl w:val="B8EA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D0478C"/>
    <w:multiLevelType w:val="multilevel"/>
    <w:tmpl w:val="247288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FB19AB"/>
    <w:multiLevelType w:val="multilevel"/>
    <w:tmpl w:val="F65CE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2D23D0"/>
    <w:multiLevelType w:val="multilevel"/>
    <w:tmpl w:val="269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FB6137"/>
    <w:multiLevelType w:val="multilevel"/>
    <w:tmpl w:val="7E447E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933EAE"/>
    <w:multiLevelType w:val="multilevel"/>
    <w:tmpl w:val="D0D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29323D"/>
    <w:multiLevelType w:val="multilevel"/>
    <w:tmpl w:val="22E4F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0D561C"/>
    <w:multiLevelType w:val="multilevel"/>
    <w:tmpl w:val="8CBC8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9A7DDA"/>
    <w:multiLevelType w:val="multilevel"/>
    <w:tmpl w:val="D9D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04496">
    <w:abstractNumId w:val="10"/>
  </w:num>
  <w:num w:numId="2" w16cid:durableId="1973974624">
    <w:abstractNumId w:val="2"/>
  </w:num>
  <w:num w:numId="3" w16cid:durableId="1817526988">
    <w:abstractNumId w:val="42"/>
  </w:num>
  <w:num w:numId="4" w16cid:durableId="972097869">
    <w:abstractNumId w:val="39"/>
  </w:num>
  <w:num w:numId="5" w16cid:durableId="1793402229">
    <w:abstractNumId w:val="24"/>
  </w:num>
  <w:num w:numId="6" w16cid:durableId="1188258035">
    <w:abstractNumId w:val="20"/>
  </w:num>
  <w:num w:numId="7" w16cid:durableId="564490970">
    <w:abstractNumId w:val="46"/>
  </w:num>
  <w:num w:numId="8" w16cid:durableId="804587676">
    <w:abstractNumId w:val="41"/>
  </w:num>
  <w:num w:numId="9" w16cid:durableId="60560443">
    <w:abstractNumId w:val="12"/>
  </w:num>
  <w:num w:numId="10" w16cid:durableId="2053462418">
    <w:abstractNumId w:val="37"/>
  </w:num>
  <w:num w:numId="11" w16cid:durableId="763065241">
    <w:abstractNumId w:val="16"/>
  </w:num>
  <w:num w:numId="12" w16cid:durableId="555169696">
    <w:abstractNumId w:val="5"/>
  </w:num>
  <w:num w:numId="13" w16cid:durableId="919564647">
    <w:abstractNumId w:val="36"/>
  </w:num>
  <w:num w:numId="14" w16cid:durableId="420107105">
    <w:abstractNumId w:val="38"/>
  </w:num>
  <w:num w:numId="15" w16cid:durableId="1199120347">
    <w:abstractNumId w:val="19"/>
  </w:num>
  <w:num w:numId="16" w16cid:durableId="1917785246">
    <w:abstractNumId w:val="28"/>
  </w:num>
  <w:num w:numId="17" w16cid:durableId="731005119">
    <w:abstractNumId w:val="56"/>
  </w:num>
  <w:num w:numId="18" w16cid:durableId="1079063784">
    <w:abstractNumId w:val="22"/>
  </w:num>
  <w:num w:numId="19" w16cid:durableId="1354918995">
    <w:abstractNumId w:val="47"/>
  </w:num>
  <w:num w:numId="20" w16cid:durableId="682709353">
    <w:abstractNumId w:val="4"/>
  </w:num>
  <w:num w:numId="21" w16cid:durableId="2015960636">
    <w:abstractNumId w:val="64"/>
  </w:num>
  <w:num w:numId="22" w16cid:durableId="2079208302">
    <w:abstractNumId w:val="21"/>
  </w:num>
  <w:num w:numId="23" w16cid:durableId="19623784">
    <w:abstractNumId w:val="27"/>
  </w:num>
  <w:num w:numId="24" w16cid:durableId="397630386">
    <w:abstractNumId w:val="43"/>
  </w:num>
  <w:num w:numId="25" w16cid:durableId="805972394">
    <w:abstractNumId w:val="62"/>
  </w:num>
  <w:num w:numId="26" w16cid:durableId="1426422205">
    <w:abstractNumId w:val="7"/>
  </w:num>
  <w:num w:numId="27" w16cid:durableId="2142533986">
    <w:abstractNumId w:val="15"/>
  </w:num>
  <w:num w:numId="28" w16cid:durableId="868227248">
    <w:abstractNumId w:val="61"/>
  </w:num>
  <w:num w:numId="29" w16cid:durableId="62265011">
    <w:abstractNumId w:val="31"/>
  </w:num>
  <w:num w:numId="30" w16cid:durableId="798956338">
    <w:abstractNumId w:val="57"/>
  </w:num>
  <w:num w:numId="31" w16cid:durableId="1201822758">
    <w:abstractNumId w:val="32"/>
  </w:num>
  <w:num w:numId="32" w16cid:durableId="1133986376">
    <w:abstractNumId w:val="51"/>
  </w:num>
  <w:num w:numId="33" w16cid:durableId="404030432">
    <w:abstractNumId w:val="58"/>
  </w:num>
  <w:num w:numId="34" w16cid:durableId="2145466604">
    <w:abstractNumId w:val="52"/>
  </w:num>
  <w:num w:numId="35" w16cid:durableId="1821192739">
    <w:abstractNumId w:val="54"/>
  </w:num>
  <w:num w:numId="36" w16cid:durableId="802388557">
    <w:abstractNumId w:val="23"/>
  </w:num>
  <w:num w:numId="37" w16cid:durableId="1702199177">
    <w:abstractNumId w:val="26"/>
  </w:num>
  <w:num w:numId="38" w16cid:durableId="1235703586">
    <w:abstractNumId w:val="40"/>
  </w:num>
  <w:num w:numId="39" w16cid:durableId="1991520284">
    <w:abstractNumId w:val="63"/>
  </w:num>
  <w:num w:numId="40" w16cid:durableId="1586844409">
    <w:abstractNumId w:val="49"/>
  </w:num>
  <w:num w:numId="41" w16cid:durableId="1899241125">
    <w:abstractNumId w:val="45"/>
  </w:num>
  <w:num w:numId="42" w16cid:durableId="419641156">
    <w:abstractNumId w:val="33"/>
  </w:num>
  <w:num w:numId="43" w16cid:durableId="394086035">
    <w:abstractNumId w:val="60"/>
  </w:num>
  <w:num w:numId="44" w16cid:durableId="1986860983">
    <w:abstractNumId w:val="29"/>
  </w:num>
  <w:num w:numId="45" w16cid:durableId="1776443511">
    <w:abstractNumId w:val="11"/>
  </w:num>
  <w:num w:numId="46" w16cid:durableId="284580187">
    <w:abstractNumId w:val="0"/>
  </w:num>
  <w:num w:numId="47" w16cid:durableId="53553122">
    <w:abstractNumId w:val="34"/>
  </w:num>
  <w:num w:numId="48" w16cid:durableId="1930387928">
    <w:abstractNumId w:val="35"/>
  </w:num>
  <w:num w:numId="49" w16cid:durableId="1049453710">
    <w:abstractNumId w:val="59"/>
  </w:num>
  <w:num w:numId="50" w16cid:durableId="148445284">
    <w:abstractNumId w:val="44"/>
  </w:num>
  <w:num w:numId="51" w16cid:durableId="861212845">
    <w:abstractNumId w:val="55"/>
  </w:num>
  <w:num w:numId="52" w16cid:durableId="7754840">
    <w:abstractNumId w:val="50"/>
  </w:num>
  <w:num w:numId="53" w16cid:durableId="1310550982">
    <w:abstractNumId w:val="3"/>
  </w:num>
  <w:num w:numId="54" w16cid:durableId="1569876124">
    <w:abstractNumId w:val="48"/>
  </w:num>
  <w:num w:numId="55" w16cid:durableId="1271933231">
    <w:abstractNumId w:val="1"/>
  </w:num>
  <w:num w:numId="56" w16cid:durableId="133105374">
    <w:abstractNumId w:val="30"/>
  </w:num>
  <w:num w:numId="57" w16cid:durableId="564879974">
    <w:abstractNumId w:val="17"/>
  </w:num>
  <w:num w:numId="58" w16cid:durableId="786705853">
    <w:abstractNumId w:val="14"/>
  </w:num>
  <w:num w:numId="59" w16cid:durableId="217402206">
    <w:abstractNumId w:val="8"/>
  </w:num>
  <w:num w:numId="60" w16cid:durableId="84502452">
    <w:abstractNumId w:val="9"/>
  </w:num>
  <w:num w:numId="61" w16cid:durableId="1754011930">
    <w:abstractNumId w:val="25"/>
  </w:num>
  <w:num w:numId="62" w16cid:durableId="1666665330">
    <w:abstractNumId w:val="13"/>
  </w:num>
  <w:num w:numId="63" w16cid:durableId="1951008608">
    <w:abstractNumId w:val="18"/>
  </w:num>
  <w:num w:numId="64" w16cid:durableId="1592543716">
    <w:abstractNumId w:val="6"/>
  </w:num>
  <w:num w:numId="65" w16cid:durableId="102197331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0F"/>
    <w:rsid w:val="0033620F"/>
    <w:rsid w:val="0057778E"/>
    <w:rsid w:val="00D33AE2"/>
    <w:rsid w:val="00E82D73"/>
    <w:rsid w:val="00FC3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CE77"/>
  <w15:chartTrackingRefBased/>
  <w15:docId w15:val="{3B3A1760-9CE2-BD4E-A248-03FD7A599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20F"/>
  </w:style>
  <w:style w:type="paragraph" w:styleId="Heading1">
    <w:name w:val="heading 1"/>
    <w:basedOn w:val="Normal"/>
    <w:next w:val="Normal"/>
    <w:link w:val="Heading1Char"/>
    <w:uiPriority w:val="9"/>
    <w:qFormat/>
    <w:rsid w:val="0033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20F"/>
    <w:rPr>
      <w:rFonts w:eastAsiaTheme="majorEastAsia" w:cstheme="majorBidi"/>
      <w:color w:val="272727" w:themeColor="text1" w:themeTint="D8"/>
    </w:rPr>
  </w:style>
  <w:style w:type="paragraph" w:styleId="Title">
    <w:name w:val="Title"/>
    <w:basedOn w:val="Normal"/>
    <w:next w:val="Normal"/>
    <w:link w:val="TitleChar"/>
    <w:uiPriority w:val="10"/>
    <w:qFormat/>
    <w:rsid w:val="0033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20F"/>
    <w:pPr>
      <w:spacing w:before="160"/>
      <w:jc w:val="center"/>
    </w:pPr>
    <w:rPr>
      <w:i/>
      <w:iCs/>
      <w:color w:val="404040" w:themeColor="text1" w:themeTint="BF"/>
    </w:rPr>
  </w:style>
  <w:style w:type="character" w:customStyle="1" w:styleId="QuoteChar">
    <w:name w:val="Quote Char"/>
    <w:basedOn w:val="DefaultParagraphFont"/>
    <w:link w:val="Quote"/>
    <w:uiPriority w:val="29"/>
    <w:rsid w:val="0033620F"/>
    <w:rPr>
      <w:i/>
      <w:iCs/>
      <w:color w:val="404040" w:themeColor="text1" w:themeTint="BF"/>
    </w:rPr>
  </w:style>
  <w:style w:type="paragraph" w:styleId="ListParagraph">
    <w:name w:val="List Paragraph"/>
    <w:basedOn w:val="Normal"/>
    <w:uiPriority w:val="34"/>
    <w:qFormat/>
    <w:rsid w:val="0033620F"/>
    <w:pPr>
      <w:ind w:left="720"/>
      <w:contextualSpacing/>
    </w:pPr>
  </w:style>
  <w:style w:type="character" w:styleId="IntenseEmphasis">
    <w:name w:val="Intense Emphasis"/>
    <w:basedOn w:val="DefaultParagraphFont"/>
    <w:uiPriority w:val="21"/>
    <w:qFormat/>
    <w:rsid w:val="0033620F"/>
    <w:rPr>
      <w:i/>
      <w:iCs/>
      <w:color w:val="0F4761" w:themeColor="accent1" w:themeShade="BF"/>
    </w:rPr>
  </w:style>
  <w:style w:type="paragraph" w:styleId="IntenseQuote">
    <w:name w:val="Intense Quote"/>
    <w:basedOn w:val="Normal"/>
    <w:next w:val="Normal"/>
    <w:link w:val="IntenseQuoteChar"/>
    <w:uiPriority w:val="30"/>
    <w:qFormat/>
    <w:rsid w:val="0033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20F"/>
    <w:rPr>
      <w:i/>
      <w:iCs/>
      <w:color w:val="0F4761" w:themeColor="accent1" w:themeShade="BF"/>
    </w:rPr>
  </w:style>
  <w:style w:type="character" w:styleId="IntenseReference">
    <w:name w:val="Intense Reference"/>
    <w:basedOn w:val="DefaultParagraphFont"/>
    <w:uiPriority w:val="32"/>
    <w:qFormat/>
    <w:rsid w:val="0033620F"/>
    <w:rPr>
      <w:b/>
      <w:bCs/>
      <w:smallCaps/>
      <w:color w:val="0F4761" w:themeColor="accent1" w:themeShade="BF"/>
      <w:spacing w:val="5"/>
    </w:rPr>
  </w:style>
  <w:style w:type="paragraph" w:styleId="NormalWeb">
    <w:name w:val="Normal (Web)"/>
    <w:basedOn w:val="Normal"/>
    <w:uiPriority w:val="99"/>
    <w:semiHidden/>
    <w:unhideWhenUsed/>
    <w:rsid w:val="003362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6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1</cp:revision>
  <dcterms:created xsi:type="dcterms:W3CDTF">2026-05-10T20:35:00Z</dcterms:created>
  <dcterms:modified xsi:type="dcterms:W3CDTF">2026-05-10T20:40:00Z</dcterms:modified>
</cp:coreProperties>
</file>