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65C3" w14:textId="77777777" w:rsidR="0049158A" w:rsidRDefault="0049158A" w:rsidP="0049158A">
      <w:pPr>
        <w:pStyle w:val="ListParagraph"/>
        <w:numPr>
          <w:ilvl w:val="0"/>
          <w:numId w:val="1"/>
        </w:numPr>
      </w:pPr>
      <w:r>
        <w:t>Randomized Trial of Early Detection and Treatment of Postpartum Hemorrhage</w:t>
      </w:r>
    </w:p>
    <w:p w14:paraId="18EABD9D" w14:textId="77777777" w:rsidR="0049158A" w:rsidRPr="002B2E6A" w:rsidRDefault="0049158A" w:rsidP="0049158A">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2B2E6A">
        <w:rPr>
          <w:rFonts w:ascii="Inter" w:eastAsia="Times New Roman" w:hAnsi="Inter" w:cs="Times New Roman"/>
          <w:color w:val="0B3D91"/>
          <w:kern w:val="36"/>
          <w:sz w:val="48"/>
          <w:szCs w:val="48"/>
          <w14:ligatures w14:val="none"/>
        </w:rPr>
        <w:t>Whole-Paper Review Summary</w:t>
      </w:r>
    </w:p>
    <w:p w14:paraId="0078E65D"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1. Overall Concern Level</w:t>
      </w:r>
    </w:p>
    <w:p w14:paraId="392A2559"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Low-to-Moderate concern</w:t>
      </w:r>
    </w:p>
    <w:p w14:paraId="20E79D94"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This is a large, cluster-randomized controlled trial with a pre-registered protocol (NCT04341662), clear randomization, appropriate control group, and statistically robust primary outcome. The primary finding (RR 0.40, 95% CI 0.32–0.50; P &lt; 0.001) is supported by the trial design. However, important transparency gaps and secondary outcome interpretation issues warrant cautious reading.</w:t>
      </w:r>
    </w:p>
    <w:p w14:paraId="7094F853"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23BA1461">
          <v:rect id="Horizontal Line 126"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E0785E2"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2. Paper Type and Design</w:t>
      </w:r>
    </w:p>
    <w:p w14:paraId="21A80100"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International cluster-randomized controlled trial</w:t>
      </w:r>
      <w:r w:rsidRPr="002B2E6A">
        <w:rPr>
          <w:rFonts w:ascii="Inter" w:eastAsia="Times New Roman" w:hAnsi="Inter" w:cs="Times New Roman"/>
          <w:color w:val="1F2D3D"/>
          <w:kern w:val="0"/>
          <w14:ligatures w14:val="none"/>
        </w:rPr>
        <w:t> with 80 secondary-level hospitals as randomization units across four sub-Saharan African countries. This design appropriately addresses the cluster-level intervention (hospital training, protocol implementation) and supports causal inference about the bundled PPH intervention effect. The baseline control phase strengthens the design by providing pre-intervention outcome rates.</w:t>
      </w:r>
    </w:p>
    <w:p w14:paraId="453B24EE"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7C48A1AE">
          <v:rect id="Horizontal Line 125"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04A6B1"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3. Big-Picture Statistical Concerns</w:t>
      </w:r>
    </w:p>
    <w:p w14:paraId="127B7AD1"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A. Secondary outcomes lack multiplicity adjustment</w:t>
      </w:r>
      <w:r w:rsidRPr="002B2E6A">
        <w:rPr>
          <w:rFonts w:ascii="Inter" w:eastAsia="Times New Roman" w:hAnsi="Inter" w:cs="Times New Roman"/>
          <w:color w:val="1F2D3D"/>
          <w:kern w:val="0"/>
          <w14:ligatures w14:val="none"/>
        </w:rPr>
        <w:br/>
      </w:r>
      <w:r w:rsidRPr="002B2E6A">
        <w:rPr>
          <w:rFonts w:ascii="Inter" w:eastAsia="Times New Roman" w:hAnsi="Inter" w:cs="Times New Roman"/>
          <w:i/>
          <w:iCs/>
          <w:color w:val="1F2D3D"/>
          <w:kern w:val="0"/>
          <w14:ligatures w14:val="none"/>
        </w:rPr>
        <w:t>Moderate interpretation concern</w:t>
      </w:r>
      <w:r w:rsidRPr="002B2E6A">
        <w:rPr>
          <w:rFonts w:ascii="Inter" w:eastAsia="Times New Roman" w:hAnsi="Inter" w:cs="Times New Roman"/>
          <w:color w:val="1F2D3D"/>
          <w:kern w:val="0"/>
          <w14:ligatures w14:val="none"/>
        </w:rPr>
        <w:br/>
        <w:t>Table 2 footnote explicitly states secondary-outcome confidence interval widths were not adjusted for multiplicity despite testing ≥8 secondary outcomes. Two rare-event outcomes have confidence intervals overlapping unity (laparotomy RR 1.72, 95% CI 0.57–5.16; maternal death RR 0.80, 95% CI 0.38–1.68 with N=12 vs. 7 and N=12 vs. 18 respectively). Secondary findings should be interpreted as exploratory. The primary outcome, however, shows a large effect with tight, non-overlapping CI and is not subject to this concern.</w:t>
      </w:r>
    </w:p>
    <w:p w14:paraId="26236557"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B. Intracluster correlation coefficient (ICC) and design effect not reported</w:t>
      </w:r>
      <w:r w:rsidRPr="002B2E6A">
        <w:rPr>
          <w:rFonts w:ascii="Inter" w:eastAsia="Times New Roman" w:hAnsi="Inter" w:cs="Times New Roman"/>
          <w:color w:val="1F2D3D"/>
          <w:kern w:val="0"/>
          <w14:ligatures w14:val="none"/>
        </w:rPr>
        <w:br/>
      </w:r>
      <w:r w:rsidRPr="002B2E6A">
        <w:rPr>
          <w:rFonts w:ascii="Inter" w:eastAsia="Times New Roman" w:hAnsi="Inter" w:cs="Times New Roman"/>
          <w:i/>
          <w:iCs/>
          <w:color w:val="1F2D3D"/>
          <w:kern w:val="0"/>
          <w14:ligatures w14:val="none"/>
        </w:rPr>
        <w:t>Reporting gap from extracted text</w:t>
      </w:r>
      <w:r w:rsidRPr="002B2E6A">
        <w:rPr>
          <w:rFonts w:ascii="Inter" w:eastAsia="Times New Roman" w:hAnsi="Inter" w:cs="Times New Roman"/>
          <w:color w:val="1F2D3D"/>
          <w:kern w:val="0"/>
          <w14:ligatures w14:val="none"/>
        </w:rPr>
        <w:br/>
        <w:t>Essential for assessing whether variance estimation properly accounted for clustering. This omission prevents independent verification of precision. However, if the analysis used GEE, mixed models, or sandwich estimators that adjust for clustering, valid CIs are possible even without reported ICC. Clarification is needed.</w:t>
      </w:r>
    </w:p>
    <w:p w14:paraId="36F38409"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lastRenderedPageBreak/>
        <w:t>C. Detection and adherence outcomes—mechanistic interpretation uncertain</w:t>
      </w:r>
      <w:r w:rsidRPr="002B2E6A">
        <w:rPr>
          <w:rFonts w:ascii="Inter" w:eastAsia="Times New Roman" w:hAnsi="Inter" w:cs="Times New Roman"/>
          <w:color w:val="1F2D3D"/>
          <w:kern w:val="0"/>
          <w14:ligatures w14:val="none"/>
        </w:rPr>
        <w:br/>
      </w:r>
      <w:r w:rsidRPr="002B2E6A">
        <w:rPr>
          <w:rFonts w:ascii="Inter" w:eastAsia="Times New Roman" w:hAnsi="Inter" w:cs="Times New Roman"/>
          <w:i/>
          <w:iCs/>
          <w:color w:val="1F2D3D"/>
          <w:kern w:val="0"/>
          <w14:ligatures w14:val="none"/>
        </w:rPr>
        <w:t>Moderate interpretation concern</w:t>
      </w:r>
      <w:r w:rsidRPr="002B2E6A">
        <w:rPr>
          <w:rFonts w:ascii="Inter" w:eastAsia="Times New Roman" w:hAnsi="Inter" w:cs="Times New Roman"/>
          <w:color w:val="1F2D3D"/>
          <w:kern w:val="0"/>
          <w14:ligatures w14:val="none"/>
        </w:rPr>
        <w:br/>
        <w:t>Detection improved from 51.1% to 93.1% (difference +33.3 pp) and adherence from 19.4% to 91.2% (difference +70.2 pp), but these are implementation outcomes, not statistical adjustments to the primary analysis. The paper appropriately reports them separately; however, readers should understand these reflect training effectiveness and protocol uptake, not proof of the causal mechanism by which the primary outcome improved.</w:t>
      </w:r>
    </w:p>
    <w:p w14:paraId="371D2769"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D. Source verification exclusions—differential bias risk not quantified</w:t>
      </w:r>
      <w:r w:rsidRPr="002B2E6A">
        <w:rPr>
          <w:rFonts w:ascii="Inter" w:eastAsia="Times New Roman" w:hAnsi="Inter" w:cs="Times New Roman"/>
          <w:color w:val="1F2D3D"/>
          <w:kern w:val="0"/>
          <w14:ligatures w14:val="none"/>
        </w:rPr>
        <w:br/>
      </w:r>
      <w:r w:rsidRPr="002B2E6A">
        <w:rPr>
          <w:rFonts w:ascii="Inter" w:eastAsia="Times New Roman" w:hAnsi="Inter" w:cs="Times New Roman"/>
          <w:i/>
          <w:iCs/>
          <w:color w:val="1F2D3D"/>
          <w:kern w:val="0"/>
          <w14:ligatures w14:val="none"/>
        </w:rPr>
        <w:t>Standard reviewer check</w:t>
      </w:r>
      <w:r w:rsidRPr="002B2E6A">
        <w:rPr>
          <w:rFonts w:ascii="Inter" w:eastAsia="Times New Roman" w:hAnsi="Inter" w:cs="Times New Roman"/>
          <w:color w:val="1F2D3D"/>
          <w:kern w:val="0"/>
          <w14:ligatures w14:val="none"/>
        </w:rPr>
        <w:br/>
        <w:t>Methods state that only source-verified records were used for blood-loss outcomes, but the extraction does not show how many records were excluded by group or whether exclusion was balanced. The paper should clarify the completeness of source verification by group and confirm this did not introduce differential measurement bias.</w:t>
      </w:r>
    </w:p>
    <w:p w14:paraId="747DAE53"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E. Composite primary outcome decomposition not shown</w:t>
      </w:r>
      <w:r w:rsidRPr="002B2E6A">
        <w:rPr>
          <w:rFonts w:ascii="Inter" w:eastAsia="Times New Roman" w:hAnsi="Inter" w:cs="Times New Roman"/>
          <w:color w:val="1F2D3D"/>
          <w:kern w:val="0"/>
          <w14:ligatures w14:val="none"/>
        </w:rPr>
        <w:br/>
      </w:r>
      <w:r w:rsidRPr="002B2E6A">
        <w:rPr>
          <w:rFonts w:ascii="Inter" w:eastAsia="Times New Roman" w:hAnsi="Inter" w:cs="Times New Roman"/>
          <w:i/>
          <w:iCs/>
          <w:color w:val="1F2D3D"/>
          <w:kern w:val="0"/>
          <w14:ligatures w14:val="none"/>
        </w:rPr>
        <w:t>Standard reviewer check</w:t>
      </w:r>
      <w:r w:rsidRPr="002B2E6A">
        <w:rPr>
          <w:rFonts w:ascii="Inter" w:eastAsia="Times New Roman" w:hAnsi="Inter" w:cs="Times New Roman"/>
          <w:color w:val="1F2D3D"/>
          <w:kern w:val="0"/>
          <w14:ligatures w14:val="none"/>
        </w:rPr>
        <w:br/>
        <w:t>The primary outcome combines severe PPH (≥1,000 ml), laparotomy for bleeding, and maternal death. Individual component event counts and stratified results should be provided to assess whether the effect is robust across components or driven by one element. Pre-specification of the composite in the trial protocol should be confirmed.</w:t>
      </w:r>
    </w:p>
    <w:p w14:paraId="1495956D"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05DF4338">
          <v:rect id="Horizontal Line 124" o:spid="_x0000_s10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9922008"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4. Internal Consistency Checks</w:t>
      </w:r>
    </w:p>
    <w:p w14:paraId="05E3BDE8" w14:textId="77777777" w:rsidR="0049158A" w:rsidRPr="002B2E6A" w:rsidRDefault="0049158A" w:rsidP="0049158A">
      <w:pPr>
        <w:numPr>
          <w:ilvl w:val="0"/>
          <w:numId w:val="2"/>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Denominators</w:t>
      </w:r>
      <w:r w:rsidRPr="002B2E6A">
        <w:rPr>
          <w:rFonts w:ascii="Inter" w:eastAsia="Times New Roman" w:hAnsi="Inter" w:cs="Times New Roman"/>
          <w:color w:val="1F2D3D"/>
          <w:kern w:val="0"/>
          <w14:ligatures w14:val="none"/>
        </w:rPr>
        <w:t>: Primary outcome analysis N=48,678 (intervention) and N=50,044 (usual care); baseline enrollment N=49,101 and N=50,558 respectively. Confirm why 33 and 514 records are missing and whether missingness was outcome-related or differential by group.</w:t>
      </w:r>
    </w:p>
    <w:p w14:paraId="0CF92F72" w14:textId="77777777" w:rsidR="0049158A" w:rsidRPr="002B2E6A" w:rsidRDefault="0049158A" w:rsidP="0049158A">
      <w:pPr>
        <w:numPr>
          <w:ilvl w:val="0"/>
          <w:numId w:val="2"/>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Baseline balance</w:t>
      </w:r>
      <w:r w:rsidRPr="002B2E6A">
        <w:rPr>
          <w:rFonts w:ascii="Inter" w:eastAsia="Times New Roman" w:hAnsi="Inter" w:cs="Times New Roman"/>
          <w:color w:val="1F2D3D"/>
          <w:kern w:val="0"/>
          <w14:ligatures w14:val="none"/>
        </w:rPr>
        <w:t>: Table 2 reports baseline rates (3.8% vs. 4.5% for primary outcome); examine full baseline balance table for hospital-level characteristics (staffing, infrastructure, prior protocols) to verify that randomization succeeded.</w:t>
      </w:r>
    </w:p>
    <w:p w14:paraId="4E9DEACD" w14:textId="77777777" w:rsidR="0049158A" w:rsidRPr="002B2E6A" w:rsidRDefault="0049158A" w:rsidP="0049158A">
      <w:pPr>
        <w:numPr>
          <w:ilvl w:val="0"/>
          <w:numId w:val="2"/>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Cluster sizes</w:t>
      </w:r>
      <w:r w:rsidRPr="002B2E6A">
        <w:rPr>
          <w:rFonts w:ascii="Inter" w:eastAsia="Times New Roman" w:hAnsi="Inter" w:cs="Times New Roman"/>
          <w:color w:val="1F2D3D"/>
          <w:kern w:val="0"/>
          <w14:ligatures w14:val="none"/>
        </w:rPr>
        <w:t>: Paper states hospitals ranged 1,000–5,000 vaginal births/year. Verify whether cluster size imbalance was accounted for in variance estimation.</w:t>
      </w:r>
    </w:p>
    <w:p w14:paraId="1B4591C4" w14:textId="77777777" w:rsidR="0049158A" w:rsidRPr="002B2E6A" w:rsidRDefault="0049158A" w:rsidP="0049158A">
      <w:pPr>
        <w:numPr>
          <w:ilvl w:val="0"/>
          <w:numId w:val="2"/>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Blinding</w:t>
      </w:r>
      <w:r w:rsidRPr="002B2E6A">
        <w:rPr>
          <w:rFonts w:ascii="Inter" w:eastAsia="Times New Roman" w:hAnsi="Inter" w:cs="Times New Roman"/>
          <w:color w:val="1F2D3D"/>
          <w:kern w:val="0"/>
          <w14:ligatures w14:val="none"/>
        </w:rPr>
        <w:t>: End-point committee was blinded for laparotomy and maternal death, but clarify whether clinicians assessing severe PPH (≥1,000 ml) were blinded to group assignment, particularly given intensive training in intervention hospitals on drape use.</w:t>
      </w:r>
    </w:p>
    <w:p w14:paraId="56F5D721" w14:textId="77777777" w:rsidR="0049158A" w:rsidRPr="002B2E6A" w:rsidRDefault="0049158A" w:rsidP="0049158A">
      <w:pPr>
        <w:numPr>
          <w:ilvl w:val="0"/>
          <w:numId w:val="2"/>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Consistency of risk vs. rate ratios</w:t>
      </w:r>
      <w:r w:rsidRPr="002B2E6A">
        <w:rPr>
          <w:rFonts w:ascii="Inter" w:eastAsia="Times New Roman" w:hAnsi="Inter" w:cs="Times New Roman"/>
          <w:color w:val="1F2D3D"/>
          <w:kern w:val="0"/>
          <w14:ligatures w14:val="none"/>
        </w:rPr>
        <w:t>: Most outcomes report risk ratios; detection and adherence report rate ratios. Clarify whether these are conditional proportions (subset of diagnosed PPH cases) or true incidence rates.</w:t>
      </w:r>
    </w:p>
    <w:p w14:paraId="304AFF68"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5A23CB6D">
          <v:rect id="Horizontal Line 123"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834FA45"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5. Reporting and Transparency Concerns</w:t>
      </w:r>
    </w:p>
    <w:p w14:paraId="3371F977" w14:textId="77777777" w:rsidR="0049158A" w:rsidRPr="002B2E6A" w:rsidRDefault="0049158A" w:rsidP="0049158A">
      <w:pPr>
        <w:numPr>
          <w:ilvl w:val="0"/>
          <w:numId w:val="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lastRenderedPageBreak/>
        <w:t>ICC and design effect</w:t>
      </w:r>
      <w:r w:rsidRPr="002B2E6A">
        <w:rPr>
          <w:rFonts w:ascii="Inter" w:eastAsia="Times New Roman" w:hAnsi="Inter" w:cs="Times New Roman"/>
          <w:color w:val="1F2D3D"/>
          <w:kern w:val="0"/>
          <w14:ligatures w14:val="none"/>
        </w:rPr>
        <w:t> not reported in extracted text; should appear in supplement or protocol.</w:t>
      </w:r>
    </w:p>
    <w:p w14:paraId="367C2040" w14:textId="77777777" w:rsidR="0049158A" w:rsidRPr="002B2E6A" w:rsidRDefault="0049158A" w:rsidP="0049158A">
      <w:pPr>
        <w:numPr>
          <w:ilvl w:val="0"/>
          <w:numId w:val="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Sample size calculation</w:t>
      </w:r>
      <w:r w:rsidRPr="002B2E6A">
        <w:rPr>
          <w:rFonts w:ascii="Inter" w:eastAsia="Times New Roman" w:hAnsi="Inter" w:cs="Times New Roman"/>
          <w:color w:val="1F2D3D"/>
          <w:kern w:val="0"/>
          <w14:ligatures w14:val="none"/>
        </w:rPr>
        <w:t> not shown in provided excerpts; verify it accounts for cluster design and assumed ICC.</w:t>
      </w:r>
    </w:p>
    <w:p w14:paraId="52EDFECE" w14:textId="77777777" w:rsidR="0049158A" w:rsidRPr="002B2E6A" w:rsidRDefault="0049158A" w:rsidP="0049158A">
      <w:pPr>
        <w:numPr>
          <w:ilvl w:val="0"/>
          <w:numId w:val="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Multiplicity justification</w:t>
      </w:r>
      <w:r w:rsidRPr="002B2E6A">
        <w:rPr>
          <w:rFonts w:ascii="Inter" w:eastAsia="Times New Roman" w:hAnsi="Inter" w:cs="Times New Roman"/>
          <w:color w:val="1F2D3D"/>
          <w:kern w:val="0"/>
          <w14:ligatures w14:val="none"/>
        </w:rPr>
        <w:t> absent; no explanation of why secondary outcomes were not adjusted or a pre-specified hierarchy provided.</w:t>
      </w:r>
    </w:p>
    <w:p w14:paraId="0F551096" w14:textId="77777777" w:rsidR="0049158A" w:rsidRPr="002B2E6A" w:rsidRDefault="0049158A" w:rsidP="0049158A">
      <w:pPr>
        <w:numPr>
          <w:ilvl w:val="0"/>
          <w:numId w:val="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Missing data by group</w:t>
      </w:r>
      <w:r w:rsidRPr="002B2E6A">
        <w:rPr>
          <w:rFonts w:ascii="Inter" w:eastAsia="Times New Roman" w:hAnsi="Inter" w:cs="Times New Roman"/>
          <w:color w:val="1F2D3D"/>
          <w:kern w:val="0"/>
          <w14:ligatures w14:val="none"/>
        </w:rPr>
        <w:t> not quantified; loss to follow-up rates and reasons should be reported.</w:t>
      </w:r>
    </w:p>
    <w:p w14:paraId="4D6A059C" w14:textId="77777777" w:rsidR="0049158A" w:rsidRPr="002B2E6A" w:rsidRDefault="0049158A" w:rsidP="0049158A">
      <w:pPr>
        <w:numPr>
          <w:ilvl w:val="0"/>
          <w:numId w:val="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Pakistan exclusion post-baseline</w:t>
      </w:r>
      <w:r w:rsidRPr="002B2E6A">
        <w:rPr>
          <w:rFonts w:ascii="Inter" w:eastAsia="Times New Roman" w:hAnsi="Inter" w:cs="Times New Roman"/>
          <w:color w:val="1F2D3D"/>
          <w:kern w:val="0"/>
          <w14:ligatures w14:val="none"/>
        </w:rPr>
        <w:t> mentioned but not explained in provided text.</w:t>
      </w:r>
    </w:p>
    <w:p w14:paraId="77661792" w14:textId="77777777" w:rsidR="0049158A" w:rsidRPr="002B2E6A" w:rsidRDefault="0049158A" w:rsidP="0049158A">
      <w:pPr>
        <w:numPr>
          <w:ilvl w:val="0"/>
          <w:numId w:val="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Statistical analysis plan and trial protocol</w:t>
      </w:r>
      <w:r w:rsidRPr="002B2E6A">
        <w:rPr>
          <w:rFonts w:ascii="Inter" w:eastAsia="Times New Roman" w:hAnsi="Inter" w:cs="Times New Roman"/>
          <w:color w:val="1F2D3D"/>
          <w:kern w:val="0"/>
          <w14:ligatures w14:val="none"/>
        </w:rPr>
        <w:t> registration and availability should be confirmed.</w:t>
      </w:r>
    </w:p>
    <w:p w14:paraId="22A33D71" w14:textId="77777777" w:rsidR="0049158A" w:rsidRPr="002B2E6A" w:rsidRDefault="0049158A" w:rsidP="0049158A">
      <w:pPr>
        <w:numPr>
          <w:ilvl w:val="0"/>
          <w:numId w:val="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Heterogeneity of treatment effects</w:t>
      </w:r>
      <w:r w:rsidRPr="002B2E6A">
        <w:rPr>
          <w:rFonts w:ascii="Inter" w:eastAsia="Times New Roman" w:hAnsi="Inter" w:cs="Times New Roman"/>
          <w:color w:val="1F2D3D"/>
          <w:kern w:val="0"/>
          <w14:ligatures w14:val="none"/>
        </w:rPr>
        <w:t> across 80 hospitals and four countries not explored; subgroup analyses by country and hospital baseline PPH prevalence are needed.</w:t>
      </w:r>
    </w:p>
    <w:p w14:paraId="6B78E633"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2DEEF2FD">
          <v:rect id="Horizontal Line 122"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8241DAD"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6. Claims Needing More Cautious Wording</w:t>
      </w:r>
    </w:p>
    <w:p w14:paraId="3C9345F2" w14:textId="77777777" w:rsidR="0049158A" w:rsidRPr="002B2E6A" w:rsidRDefault="0049158A" w:rsidP="0049158A">
      <w:pPr>
        <w:numPr>
          <w:ilvl w:val="0"/>
          <w:numId w:val="4"/>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“60% reduction in primary outcome”</w:t>
      </w:r>
      <w:r w:rsidRPr="002B2E6A">
        <w:rPr>
          <w:rFonts w:ascii="Inter" w:eastAsia="Times New Roman" w:hAnsi="Inter" w:cs="Times New Roman"/>
          <w:color w:val="1F2D3D"/>
          <w:kern w:val="0"/>
          <w14:ligatures w14:val="none"/>
        </w:rPr>
        <w:t> — Support is strong for the primary composite outcome, but the mechanism (early detection vs. true prevention vs. measurement improvement) is not fully disentangled. The paper should clarify that the effect includes improved detection and adherence, not proof of biological prevention alone.</w:t>
      </w:r>
    </w:p>
    <w:p w14:paraId="78EF356B" w14:textId="77777777" w:rsidR="0049158A" w:rsidRPr="002B2E6A" w:rsidRDefault="0049158A" w:rsidP="0049158A">
      <w:pPr>
        <w:numPr>
          <w:ilvl w:val="0"/>
          <w:numId w:val="4"/>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Detection and adherence as evidence of causal pathway</w:t>
      </w:r>
      <w:r w:rsidRPr="002B2E6A">
        <w:rPr>
          <w:rFonts w:ascii="Inter" w:eastAsia="Times New Roman" w:hAnsi="Inter" w:cs="Times New Roman"/>
          <w:color w:val="1F2D3D"/>
          <w:kern w:val="0"/>
          <w14:ligatures w14:val="none"/>
        </w:rPr>
        <w:t> — These are implementation outcomes showing protocol uptake and training effectiveness. The paper should avoid implying they are independent evidence of </w:t>
      </w:r>
      <w:r w:rsidRPr="002B2E6A">
        <w:rPr>
          <w:rFonts w:ascii="Inter" w:eastAsia="Times New Roman" w:hAnsi="Inter" w:cs="Times New Roman"/>
          <w:i/>
          <w:iCs/>
          <w:color w:val="1F2D3D"/>
          <w:kern w:val="0"/>
          <w14:ligatures w14:val="none"/>
        </w:rPr>
        <w:t>how</w:t>
      </w:r>
      <w:r w:rsidRPr="002B2E6A">
        <w:rPr>
          <w:rFonts w:ascii="Inter" w:eastAsia="Times New Roman" w:hAnsi="Inter" w:cs="Times New Roman"/>
          <w:color w:val="1F2D3D"/>
          <w:kern w:val="0"/>
          <w14:ligatures w14:val="none"/>
        </w:rPr>
        <w:t> the intervention reduces severe PPH; they are intermediate markers, not confounders or adjustment variables.</w:t>
      </w:r>
    </w:p>
    <w:p w14:paraId="0BE14847" w14:textId="77777777" w:rsidR="0049158A" w:rsidRPr="002B2E6A" w:rsidRDefault="0049158A" w:rsidP="0049158A">
      <w:pPr>
        <w:numPr>
          <w:ilvl w:val="0"/>
          <w:numId w:val="4"/>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Generalizability beyond secondary-level hospitals in sub-Saharan Africa with 1,000–5,000 annual births</w:t>
      </w:r>
      <w:r w:rsidRPr="002B2E6A">
        <w:rPr>
          <w:rFonts w:ascii="Inter" w:eastAsia="Times New Roman" w:hAnsi="Inter" w:cs="Times New Roman"/>
          <w:color w:val="1F2D3D"/>
          <w:kern w:val="0"/>
          <w14:ligatures w14:val="none"/>
        </w:rPr>
        <w:t> — The findings apply to this specific setting. Cautious wording is appropriate regarding applicability to cesarean delivery, primary-level hospitals, or high-income settings.</w:t>
      </w:r>
    </w:p>
    <w:p w14:paraId="5C9E8FC0" w14:textId="77777777" w:rsidR="0049158A" w:rsidRPr="002B2E6A" w:rsidRDefault="0049158A" w:rsidP="0049158A">
      <w:pPr>
        <w:numPr>
          <w:ilvl w:val="0"/>
          <w:numId w:val="4"/>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Rarity of some secondary outcomes</w:t>
      </w:r>
      <w:r w:rsidRPr="002B2E6A">
        <w:rPr>
          <w:rFonts w:ascii="Inter" w:eastAsia="Times New Roman" w:hAnsi="Inter" w:cs="Times New Roman"/>
          <w:color w:val="1F2D3D"/>
          <w:kern w:val="0"/>
          <w14:ligatures w14:val="none"/>
        </w:rPr>
        <w:t> — The paper notes laparotomy (12 cases) and maternal death (12 and 18 cases) occurred in small numbers. Results for these outcomes cannot reliably exclude clinically meaningful differences and should not be used to make policy claims.</w:t>
      </w:r>
    </w:p>
    <w:p w14:paraId="49FDAF49"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2BBD00C1">
          <v:rect id="Horizontal Line 121"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43A6AFF"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7. Suggested Reviewer Comment</w:t>
      </w:r>
    </w:p>
    <w:p w14:paraId="70278C8E"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The manuscript presents a large, well-designed cluster-randomized controlled trial with a clear primary outcome and statistically robust main finding. However, several transparency issues warrant clarification:</w:t>
      </w:r>
    </w:p>
    <w:p w14:paraId="38480E36"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lastRenderedPageBreak/>
        <w:t>(1) Please report the intracluster correlation coefficient (ICC) and design effect for the primary outcome; specify which variance estimation method (GEE, mixed models, sandwich estimator, or other) was used to account for clustering, and provide the sample size justification including ICC assumptions.</w:t>
      </w:r>
    </w:p>
    <w:p w14:paraId="3F55F360"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(2) Table 2 appropriately notes that secondary-outcome confidence intervals were not adjusted for multiplicity. Please clarify whether this was pre-specified, how many secondary outcomes were planned, and whether a hierarchical or gatekeeping approach was used to control Type I error.</w:t>
      </w:r>
    </w:p>
    <w:p w14:paraId="5F6687D5"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(3) Please provide event counts and stratified analyses for the three components of the primary outcome (severe PPH, laparotomy, maternal death) to show that the effect is robust across components and not driven by one element.</w:t>
      </w:r>
    </w:p>
    <w:p w14:paraId="7B75EE09"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(4) Clarify the proportion of records excluded due to lack of source verification and whether this exclusion was balanced between groups.</w:t>
      </w:r>
    </w:p>
    <w:p w14:paraId="7639D28A" w14:textId="77777777" w:rsidR="0049158A" w:rsidRPr="002B2E6A" w:rsidRDefault="0049158A" w:rsidP="0049158A">
      <w:pPr>
        <w:shd w:val="clear" w:color="auto" w:fill="FFFFFF"/>
        <w:spacing w:after="0"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(5) The high detection and adherence rates in the intervention group are important implementation findings but should not be interpreted as independent evidence of the biological mechanism. Please clarify that these reflect training effectiveness and protocol uptake, not mechanistic proof of harm prevention.</w:t>
      </w:r>
    </w:p>
    <w:p w14:paraId="234F0154"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2FD05D77">
          <v:rect id="Horizontal Line 120" o:spid="_x0000_s10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8F2BD79"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8. Overall Assessment for Users</w:t>
      </w:r>
    </w:p>
    <w:p w14:paraId="035B8927"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Primary outcome (composite severe PPH, laparotomy, or maternal death) is well-supported</w:t>
      </w:r>
      <w:r w:rsidRPr="002B2E6A">
        <w:rPr>
          <w:rFonts w:ascii="Inter" w:eastAsia="Times New Roman" w:hAnsi="Inter" w:cs="Times New Roman"/>
          <w:color w:val="1F2D3D"/>
          <w:kern w:val="0"/>
          <w14:ligatures w14:val="none"/>
        </w:rPr>
        <w:t> by the cluster-RCT design, shows a large effect (RR 0.40, 95% CI 0.32–0.50), and is unlikely due to confounding given randomization. The secondary outcome (any PPH, RR 0.51) and blood-loss reduction (mean −84 ml) are also consistent with efficacy.</w:t>
      </w:r>
    </w:p>
    <w:p w14:paraId="69A94780"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Secondary findings require cautious interpretation</w:t>
      </w:r>
      <w:r w:rsidRPr="002B2E6A">
        <w:rPr>
          <w:rFonts w:ascii="Inter" w:eastAsia="Times New Roman" w:hAnsi="Inter" w:cs="Times New Roman"/>
          <w:color w:val="1F2D3D"/>
          <w:kern w:val="0"/>
          <w14:ligatures w14:val="none"/>
        </w:rPr>
        <w:t> due to lack of multiplicity adjustment, small event counts for rare outcomes (laparotomy, maternal death), and unadjusted confidence intervals. Implementation outcomes (detection, adherence) show protocol uptake but do not independently prove biological mechanism.</w:t>
      </w:r>
    </w:p>
    <w:p w14:paraId="1E28EB65"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Findings are specific to secondary-level hospitals (1,000–5,000 births/year) in four sub-Saharan African countries with vaginal deliveries only.</w:t>
      </w:r>
      <w:r w:rsidRPr="002B2E6A">
        <w:rPr>
          <w:rFonts w:ascii="Inter" w:eastAsia="Times New Roman" w:hAnsi="Inter" w:cs="Times New Roman"/>
          <w:color w:val="1F2D3D"/>
          <w:kern w:val="0"/>
          <w14:ligatures w14:val="none"/>
        </w:rPr>
        <w:t> Generalizability to other settings, cesarean delivery, or high-resource hospitals is uncertain.</w:t>
      </w:r>
    </w:p>
    <w:p w14:paraId="22DB38C4"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54F73B19">
          <v:rect id="Horizontal Line 119"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F1D7E16"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9. Relevant Knowledge Base Sources</w:t>
      </w:r>
    </w:p>
    <w:p w14:paraId="397AE563" w14:textId="77777777" w:rsidR="0049158A" w:rsidRPr="002B2E6A" w:rsidRDefault="0049158A" w:rsidP="0049158A">
      <w:pPr>
        <w:numPr>
          <w:ilvl w:val="0"/>
          <w:numId w:val="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Tennant et al. (2021)</w:t>
      </w:r>
      <w:r w:rsidRPr="002B2E6A">
        <w:rPr>
          <w:rFonts w:ascii="Inter" w:eastAsia="Times New Roman" w:hAnsi="Inter" w:cs="Times New Roman"/>
          <w:color w:val="1F2D3D"/>
          <w:kern w:val="0"/>
          <w14:ligatures w14:val="none"/>
        </w:rPr>
        <w:t>: DAG-based confounder identification; caution against adjusting mediators or colliders.</w:t>
      </w:r>
    </w:p>
    <w:p w14:paraId="3ABEE72C" w14:textId="77777777" w:rsidR="0049158A" w:rsidRPr="002B2E6A" w:rsidRDefault="0049158A" w:rsidP="0049158A">
      <w:pPr>
        <w:numPr>
          <w:ilvl w:val="0"/>
          <w:numId w:val="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Gelman &amp; Hill (2007)</w:t>
      </w:r>
      <w:r w:rsidRPr="002B2E6A">
        <w:rPr>
          <w:rFonts w:ascii="Inter" w:eastAsia="Times New Roman" w:hAnsi="Inter" w:cs="Times New Roman"/>
          <w:color w:val="1F2D3D"/>
          <w:kern w:val="0"/>
          <w14:ligatures w14:val="none"/>
        </w:rPr>
        <w:t>: Multilevel/hierarchical models and cluster design reporting.</w:t>
      </w:r>
    </w:p>
    <w:p w14:paraId="48B76584" w14:textId="77777777" w:rsidR="0049158A" w:rsidRPr="002B2E6A" w:rsidRDefault="0049158A" w:rsidP="0049158A">
      <w:pPr>
        <w:numPr>
          <w:ilvl w:val="0"/>
          <w:numId w:val="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Bailar &amp; Mosteller (1988)</w:t>
      </w:r>
      <w:r w:rsidRPr="002B2E6A">
        <w:rPr>
          <w:rFonts w:ascii="Inter" w:eastAsia="Times New Roman" w:hAnsi="Inter" w:cs="Times New Roman"/>
          <w:color w:val="1F2D3D"/>
          <w:kern w:val="0"/>
          <w14:ligatures w14:val="none"/>
        </w:rPr>
        <w:t>: Statistical reporting clarity standards.</w:t>
      </w:r>
    </w:p>
    <w:p w14:paraId="3EBE4D53" w14:textId="77777777" w:rsidR="0049158A" w:rsidRPr="002B2E6A" w:rsidRDefault="0049158A" w:rsidP="0049158A">
      <w:pPr>
        <w:numPr>
          <w:ilvl w:val="0"/>
          <w:numId w:val="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lastRenderedPageBreak/>
        <w:t>Wicherts et al. (2016)</w:t>
      </w:r>
      <w:r w:rsidRPr="002B2E6A">
        <w:rPr>
          <w:rFonts w:ascii="Inter" w:eastAsia="Times New Roman" w:hAnsi="Inter" w:cs="Times New Roman"/>
          <w:color w:val="1F2D3D"/>
          <w:kern w:val="0"/>
          <w14:ligatures w14:val="none"/>
        </w:rPr>
        <w:t>: Researcher degrees of freedom and transparency in outcome reporting.</w:t>
      </w:r>
    </w:p>
    <w:p w14:paraId="25A930DC"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61E3914C">
          <v:rect id="Horizontal Line 118"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6C43B3D"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10. Limitation</w:t>
      </w:r>
    </w:p>
    <w:p w14:paraId="112192C4"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This review is an AI-assisted whole-paper statistical screen based on text extracted from the uploaded paper. It is not a substitute for independent expert statistical peer review, domain-specific critique, or critical appraisal of the full protocol and supplementary materials. Important details may appear in the protocol, supplement, or registry that were not provided in the extracted text.</w:t>
      </w:r>
    </w:p>
    <w:p w14:paraId="5008297E" w14:textId="77777777" w:rsidR="0049158A" w:rsidRDefault="0049158A" w:rsidP="0049158A"/>
    <w:p w14:paraId="642C9AC4" w14:textId="77777777" w:rsidR="0049158A" w:rsidRDefault="0049158A" w:rsidP="0049158A">
      <w:pPr>
        <w:pStyle w:val="ListParagraph"/>
        <w:numPr>
          <w:ilvl w:val="0"/>
          <w:numId w:val="1"/>
        </w:numPr>
      </w:pPr>
      <w:r>
        <w:t>Phase 3 Trial of Sotatercept for Treatment of Pulmonary Arterial Hypertension</w:t>
      </w:r>
    </w:p>
    <w:p w14:paraId="1E3A42CC" w14:textId="77777777" w:rsidR="0049158A" w:rsidRPr="002B2E6A" w:rsidRDefault="0049158A" w:rsidP="0049158A">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2B2E6A">
        <w:rPr>
          <w:rFonts w:ascii="Inter" w:eastAsia="Times New Roman" w:hAnsi="Inter" w:cs="Times New Roman"/>
          <w:color w:val="0B3D91"/>
          <w:kern w:val="36"/>
          <w:sz w:val="48"/>
          <w:szCs w:val="48"/>
          <w14:ligatures w14:val="none"/>
        </w:rPr>
        <w:t>Whole-Paper Review Summary</w:t>
      </w:r>
    </w:p>
    <w:p w14:paraId="3C214DAC"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1. Overall Concern Level</w:t>
      </w:r>
    </w:p>
    <w:p w14:paraId="64AD96D9"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Low-to-Moderate concern</w:t>
      </w:r>
    </w:p>
    <w:p w14:paraId="7280FB17"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The primary endpoint (6-minute walk distance) is well-reported and statistically supported by randomization. Secondary outcome reporting and transparency of hierarchical testing require verification against supplementary materials, and unblinding risk merits attention but does not invalidate the primary conclusion.</w:t>
      </w:r>
    </w:p>
    <w:p w14:paraId="592D8FA6"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68F81D42">
          <v:rect id="Horizontal Line 117"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3ECBB88"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2. Paper Type and Design</w:t>
      </w:r>
    </w:p>
    <w:p w14:paraId="6BE31D48"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Phase 3, multicenter, double-blind, randomized, placebo-controlled trial (N = 323; sotatercept n = 163, placebo n = 160). Randomization provides valid causal inference for the primary outcome. Baseline characteristics well-balanced (Table 1). This design is appropriate for the research question.</w:t>
      </w:r>
    </w:p>
    <w:p w14:paraId="02E73AF0"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4695D1CA">
          <v:rect id="Horizontal Line 116"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BCCAC53"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3. Big-Picture Statistical Concerns</w:t>
      </w:r>
    </w:p>
    <w:p w14:paraId="75FBF39F" w14:textId="77777777" w:rsidR="0049158A" w:rsidRPr="002B2E6A" w:rsidRDefault="0049158A" w:rsidP="0049158A">
      <w:pPr>
        <w:numPr>
          <w:ilvl w:val="0"/>
          <w:numId w:val="6"/>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Hierarchical testing of nine secondary endpoints — P-values and alpha allocation not shown in extracted text</w:t>
      </w:r>
    </w:p>
    <w:p w14:paraId="5DBE1B1D"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Label:</w:t>
      </w:r>
      <w:r w:rsidRPr="002B2E6A">
        <w:rPr>
          <w:rFonts w:ascii="Inter" w:eastAsia="Times New Roman" w:hAnsi="Inter" w:cs="Times New Roman"/>
          <w:color w:val="1F2D3D"/>
          <w:kern w:val="0"/>
          <w14:ligatures w14:val="none"/>
        </w:rPr>
        <w:t> </w:t>
      </w:r>
      <w:r w:rsidRPr="002B2E6A">
        <w:rPr>
          <w:rFonts w:ascii="Inter" w:eastAsia="Times New Roman" w:hAnsi="Inter" w:cs="Times New Roman"/>
          <w:b/>
          <w:bCs/>
          <w:color w:val="1F2D3D"/>
          <w:kern w:val="0"/>
          <w14:ligatures w14:val="none"/>
        </w:rPr>
        <w:t>Reporting gap from extracted text / Not assessable without supplement/protocol</w:t>
      </w:r>
    </w:p>
    <w:p w14:paraId="61230738"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lastRenderedPageBreak/>
        <w:t>Results state “the first eight secondary end points were significantly improved” but provide no P-values, confidence intervals, or test statistics for any secondary endpoint.</w:t>
      </w:r>
    </w:p>
    <w:p w14:paraId="17D8C776"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Authors claim hierarchical testing but specifics (alpha allocation, stopping rule, pre-specification) are not in provided excerpts.</w:t>
      </w:r>
    </w:p>
    <w:p w14:paraId="7268C4B8"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Verification needed:</w:t>
      </w:r>
      <w:r w:rsidRPr="002B2E6A">
        <w:rPr>
          <w:rFonts w:ascii="Inter" w:eastAsia="Times New Roman" w:hAnsi="Inter" w:cs="Times New Roman"/>
          <w:color w:val="1F2D3D"/>
          <w:kern w:val="0"/>
          <w14:ligatures w14:val="none"/>
        </w:rPr>
        <w:t> Confirm in supplementary appendix or protocol that (a) hierarchy was pre-specified, (b) alpha allocation and stopping rule are documented, and (c) all nine secondary endpoints report point estimates, CIs, and test statistics in hierarchical order.</w:t>
      </w:r>
    </w:p>
    <w:p w14:paraId="384FB24B" w14:textId="77777777" w:rsidR="0049158A" w:rsidRPr="002B2E6A" w:rsidRDefault="0049158A" w:rsidP="0049158A">
      <w:pPr>
        <w:numPr>
          <w:ilvl w:val="0"/>
          <w:numId w:val="6"/>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“84% lower risk of death or clinical worsening” — metric, event counts, and precision undefined</w:t>
      </w:r>
    </w:p>
    <w:p w14:paraId="6477ACDA"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Label:</w:t>
      </w:r>
      <w:r w:rsidRPr="002B2E6A">
        <w:rPr>
          <w:rFonts w:ascii="Inter" w:eastAsia="Times New Roman" w:hAnsi="Inter" w:cs="Times New Roman"/>
          <w:color w:val="1F2D3D"/>
          <w:kern w:val="0"/>
          <w14:ligatures w14:val="none"/>
        </w:rPr>
        <w:t> </w:t>
      </w:r>
      <w:r w:rsidRPr="002B2E6A">
        <w:rPr>
          <w:rFonts w:ascii="Inter" w:eastAsia="Times New Roman" w:hAnsi="Inter" w:cs="Times New Roman"/>
          <w:b/>
          <w:bCs/>
          <w:color w:val="1F2D3D"/>
          <w:kern w:val="0"/>
          <w14:ligatures w14:val="none"/>
        </w:rPr>
        <w:t>Reporting gap from extracted text</w:t>
      </w:r>
    </w:p>
    <w:p w14:paraId="5E2F1D95"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Results claim “risk of death or nonfatal clinical worsening events, assessed up to the end of the trial, was 84% lower with sotatercept than with placebo” but provide no event counts, hazard ratios, confidence intervals, or P-values.</w:t>
      </w:r>
    </w:p>
    <w:p w14:paraId="508EB6AB"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Cannot assess magnitude or statistical significance without these data.</w:t>
      </w:r>
    </w:p>
    <w:p w14:paraId="0E029A49"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Verification needed:</w:t>
      </w:r>
      <w:r w:rsidRPr="002B2E6A">
        <w:rPr>
          <w:rFonts w:ascii="Inter" w:eastAsia="Times New Roman" w:hAnsi="Inter" w:cs="Times New Roman"/>
          <w:color w:val="1F2D3D"/>
          <w:kern w:val="0"/>
          <w14:ligatures w14:val="none"/>
        </w:rPr>
        <w:t> Request absolute event counts (n/N per arm), hazard ratio with 95% CI, and P-value from Results section or supplementary tables.</w:t>
      </w:r>
    </w:p>
    <w:p w14:paraId="14E5A608" w14:textId="77777777" w:rsidR="0049158A" w:rsidRPr="002B2E6A" w:rsidRDefault="0049158A" w:rsidP="0049158A">
      <w:pPr>
        <w:numPr>
          <w:ilvl w:val="0"/>
          <w:numId w:val="6"/>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Unblinding risk via observable adverse events — potential measurement bias in subjective outcomes</w:t>
      </w:r>
    </w:p>
    <w:p w14:paraId="491F4DA2"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Label:</w:t>
      </w:r>
      <w:r w:rsidRPr="002B2E6A">
        <w:rPr>
          <w:rFonts w:ascii="Inter" w:eastAsia="Times New Roman" w:hAnsi="Inter" w:cs="Times New Roman"/>
          <w:color w:val="1F2D3D"/>
          <w:kern w:val="0"/>
          <w14:ligatures w14:val="none"/>
        </w:rPr>
        <w:t> </w:t>
      </w:r>
      <w:r w:rsidRPr="002B2E6A">
        <w:rPr>
          <w:rFonts w:ascii="Inter" w:eastAsia="Times New Roman" w:hAnsi="Inter" w:cs="Times New Roman"/>
          <w:b/>
          <w:bCs/>
          <w:color w:val="1F2D3D"/>
          <w:kern w:val="0"/>
          <w14:ligatures w14:val="none"/>
        </w:rPr>
        <w:t>Moderate interpretation concern</w:t>
      </w:r>
    </w:p>
    <w:p w14:paraId="50F219B1"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Telangiectasia occurred in 10.4% (sotatercept) vs. 3.1% (placebo); epistaxis, hemoglobin elevation, and blood pressure changes also more frequent in treatment arm.</w:t>
      </w:r>
    </w:p>
    <w:p w14:paraId="72D06CF8"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Paper acknowledges “potential for unblinding owing to side effects such as telangiectasia or hematologic changes.”</w:t>
      </w:r>
    </w:p>
    <w:p w14:paraId="40F165D9"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Three subjective secondary endpoints (WHO functional class, PAH-SYMPACT Physical Impacts, PAH-SYMPACT Cardiopulmonary Symptoms) are vulnerable to investigator or patient bias if unblinding occurred.</w:t>
      </w:r>
    </w:p>
    <w:p w14:paraId="07DD0423"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Primary outcome (6-minute walk distance) is more objective and less vulnerable; secondary subjective outcomes warrant cautious interpretation.</w:t>
      </w:r>
    </w:p>
    <w:p w14:paraId="44F45F13"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Check:</w:t>
      </w:r>
      <w:r w:rsidRPr="002B2E6A">
        <w:rPr>
          <w:rFonts w:ascii="Inter" w:eastAsia="Times New Roman" w:hAnsi="Inter" w:cs="Times New Roman"/>
          <w:color w:val="1F2D3D"/>
          <w:kern w:val="0"/>
          <w14:ligatures w14:val="none"/>
        </w:rPr>
        <w:t> Report whether blinding was assessed post-trial; confirm that outcome assessors for WHO class were blinded to treatment assignment and adverse event data.</w:t>
      </w:r>
    </w:p>
    <w:p w14:paraId="6DF023C2" w14:textId="77777777" w:rsidR="0049158A" w:rsidRPr="002B2E6A" w:rsidRDefault="0049158A" w:rsidP="0049158A">
      <w:pPr>
        <w:numPr>
          <w:ilvl w:val="0"/>
          <w:numId w:val="6"/>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PAH-SYMPACT domain improvements lack established clinical significance threshold</w:t>
      </w:r>
    </w:p>
    <w:p w14:paraId="3098AABC"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Label:</w:t>
      </w:r>
      <w:r w:rsidRPr="002B2E6A">
        <w:rPr>
          <w:rFonts w:ascii="Inter" w:eastAsia="Times New Roman" w:hAnsi="Inter" w:cs="Times New Roman"/>
          <w:color w:val="1F2D3D"/>
          <w:kern w:val="0"/>
          <w14:ligatures w14:val="none"/>
        </w:rPr>
        <w:t> </w:t>
      </w:r>
      <w:r w:rsidRPr="002B2E6A">
        <w:rPr>
          <w:rFonts w:ascii="Inter" w:eastAsia="Times New Roman" w:hAnsi="Inter" w:cs="Times New Roman"/>
          <w:b/>
          <w:bCs/>
          <w:color w:val="1F2D3D"/>
          <w:kern w:val="0"/>
          <w14:ligatures w14:val="none"/>
        </w:rPr>
        <w:t>Standard reviewer check</w:t>
      </w:r>
    </w:p>
    <w:p w14:paraId="6BDABF4B"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Discussion explicitly states: “minimal clinically important differences have not been established” for Physical Impacts and Cardiopulmonary Symptoms domain scores.</w:t>
      </w:r>
    </w:p>
    <w:p w14:paraId="41E987A6"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Statistical significance ≠ clinical meaningfulness.</w:t>
      </w:r>
    </w:p>
    <w:p w14:paraId="3705B842"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Suggestion:</w:t>
      </w:r>
      <w:r w:rsidRPr="002B2E6A">
        <w:rPr>
          <w:rFonts w:ascii="Inter" w:eastAsia="Times New Roman" w:hAnsi="Inter" w:cs="Times New Roman"/>
          <w:color w:val="1F2D3D"/>
          <w:kern w:val="0"/>
          <w14:ligatures w14:val="none"/>
        </w:rPr>
        <w:t> Report effect sizes (e.g., Cohen’s d or standardized difference) and clarify whether improvements meet an external clinical benchmark or represent statistical significance alone.</w:t>
      </w:r>
    </w:p>
    <w:p w14:paraId="717A845B" w14:textId="77777777" w:rsidR="0049158A" w:rsidRPr="002B2E6A" w:rsidRDefault="0049158A" w:rsidP="0049158A">
      <w:pPr>
        <w:numPr>
          <w:ilvl w:val="0"/>
          <w:numId w:val="6"/>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Covariate adjustment and stratification factors — not fully specified in extracted Methods</w:t>
      </w:r>
    </w:p>
    <w:p w14:paraId="043482BC"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lastRenderedPageBreak/>
        <w:t>Label:</w:t>
      </w:r>
      <w:r w:rsidRPr="002B2E6A">
        <w:rPr>
          <w:rFonts w:ascii="Inter" w:eastAsia="Times New Roman" w:hAnsi="Inter" w:cs="Times New Roman"/>
          <w:color w:val="1F2D3D"/>
          <w:kern w:val="0"/>
          <w14:ligatures w14:val="none"/>
        </w:rPr>
        <w:t> </w:t>
      </w:r>
      <w:r w:rsidRPr="002B2E6A">
        <w:rPr>
          <w:rFonts w:ascii="Inter" w:eastAsia="Times New Roman" w:hAnsi="Inter" w:cs="Times New Roman"/>
          <w:b/>
          <w:bCs/>
          <w:color w:val="1F2D3D"/>
          <w:kern w:val="0"/>
          <w14:ligatures w14:val="none"/>
        </w:rPr>
        <w:t>Reporting gap from extracted text / Standard reviewer check</w:t>
      </w:r>
    </w:p>
    <w:p w14:paraId="6D881A85"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Methods mention “stratification” but do not list stratification variables or confirm whether analysis adjusted for them.</w:t>
      </w:r>
    </w:p>
    <w:p w14:paraId="196E5150"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Verification needed:</w:t>
      </w:r>
      <w:r w:rsidRPr="002B2E6A">
        <w:rPr>
          <w:rFonts w:ascii="Inter" w:eastAsia="Times New Roman" w:hAnsi="Inter" w:cs="Times New Roman"/>
          <w:color w:val="1F2D3D"/>
          <w:kern w:val="0"/>
          <w14:ligatures w14:val="none"/>
        </w:rPr>
        <w:t> Confirm (a) which variables were used for stratification in randomization, (b) whether the primary and secondary analyses adjusted for these factors, and (c) whether results remain robust in analyses unadjusted for stratification.</w:t>
      </w:r>
    </w:p>
    <w:p w14:paraId="38321A3E" w14:textId="77777777" w:rsidR="0049158A" w:rsidRPr="002B2E6A" w:rsidRDefault="0049158A" w:rsidP="0049158A">
      <w:pPr>
        <w:numPr>
          <w:ilvl w:val="0"/>
          <w:numId w:val="6"/>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Missing data and sensitivity analyses — not described in extracted text</w:t>
      </w:r>
    </w:p>
    <w:p w14:paraId="75258E7E"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Label:</w:t>
      </w:r>
      <w:r w:rsidRPr="002B2E6A">
        <w:rPr>
          <w:rFonts w:ascii="Inter" w:eastAsia="Times New Roman" w:hAnsi="Inter" w:cs="Times New Roman"/>
          <w:color w:val="1F2D3D"/>
          <w:kern w:val="0"/>
          <w14:ligatures w14:val="none"/>
        </w:rPr>
        <w:t> </w:t>
      </w:r>
      <w:r w:rsidRPr="002B2E6A">
        <w:rPr>
          <w:rFonts w:ascii="Inter" w:eastAsia="Times New Roman" w:hAnsi="Inter" w:cs="Times New Roman"/>
          <w:b/>
          <w:bCs/>
          <w:color w:val="1F2D3D"/>
          <w:kern w:val="0"/>
          <w14:ligatures w14:val="none"/>
        </w:rPr>
        <w:t>Standard reviewer check / Not assessable without supplement/protocol</w:t>
      </w:r>
    </w:p>
    <w:p w14:paraId="3CD86D09"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No mention of dropout rates, missing outcome data, or handling of dropouts (e.g., intention-to-treat vs. per-protocol analysis).</w:t>
      </w:r>
    </w:p>
    <w:p w14:paraId="55DBD673"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No sensitivity analyses reported (e.g., parametric ANCOVA vs. non-parametric Hodges–Lehmann for primary endpoint).</w:t>
      </w:r>
    </w:p>
    <w:p w14:paraId="6DBECDFF" w14:textId="77777777" w:rsidR="0049158A" w:rsidRPr="002B2E6A" w:rsidRDefault="0049158A" w:rsidP="0049158A">
      <w:pPr>
        <w:numPr>
          <w:ilvl w:val="1"/>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Verification needed:</w:t>
      </w:r>
      <w:r w:rsidRPr="002B2E6A">
        <w:rPr>
          <w:rFonts w:ascii="Inter" w:eastAsia="Times New Roman" w:hAnsi="Inter" w:cs="Times New Roman"/>
          <w:color w:val="1F2D3D"/>
          <w:kern w:val="0"/>
          <w14:ligatures w14:val="none"/>
        </w:rPr>
        <w:t> Request CONSORT flow diagram, missing data summary, and sensitivity analyses.</w:t>
      </w:r>
    </w:p>
    <w:p w14:paraId="4BF18FC5"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0F90C175">
          <v:rect id="Horizontal Line 115"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D255435"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4. Internal Consistency Checks</w:t>
      </w:r>
    </w:p>
    <w:p w14:paraId="6C1C2E59" w14:textId="77777777" w:rsidR="0049158A" w:rsidRPr="002B2E6A" w:rsidRDefault="0049158A" w:rsidP="0049158A">
      <w:pPr>
        <w:numPr>
          <w:ilvl w:val="0"/>
          <w:numId w:val="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Table 1 baseline balance</w:t>
      </w:r>
      <w:r w:rsidRPr="002B2E6A">
        <w:rPr>
          <w:rFonts w:ascii="Inter" w:eastAsia="Times New Roman" w:hAnsi="Inter" w:cs="Times New Roman"/>
          <w:color w:val="1F2D3D"/>
          <w:kern w:val="0"/>
          <w14:ligatures w14:val="none"/>
        </w:rPr>
        <w:t>: Verify that baseline 6MWD, NT-proBNP, pulmonary vascular resistance, and clinical characteristics are similar between groups (appears true from reported data).</w:t>
      </w:r>
    </w:p>
    <w:p w14:paraId="102AF5E9" w14:textId="77777777" w:rsidR="0049158A" w:rsidRPr="002B2E6A" w:rsidRDefault="0049158A" w:rsidP="0049158A">
      <w:pPr>
        <w:numPr>
          <w:ilvl w:val="0"/>
          <w:numId w:val="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Sample size and degrees of freedom</w:t>
      </w:r>
      <w:r w:rsidRPr="002B2E6A">
        <w:rPr>
          <w:rFonts w:ascii="Inter" w:eastAsia="Times New Roman" w:hAnsi="Inter" w:cs="Times New Roman"/>
          <w:color w:val="1F2D3D"/>
          <w:kern w:val="0"/>
          <w14:ligatures w14:val="none"/>
        </w:rPr>
        <w:t>: Confirm that N = 323 (163 sotatercept, 160 placebo) matches the reported primary analysis denominator; check for any exclusions or dropouts.</w:t>
      </w:r>
    </w:p>
    <w:p w14:paraId="5B289C92" w14:textId="77777777" w:rsidR="0049158A" w:rsidRPr="002B2E6A" w:rsidRDefault="0049158A" w:rsidP="0049158A">
      <w:pPr>
        <w:numPr>
          <w:ilvl w:val="0"/>
          <w:numId w:val="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Primary endpoint statistics</w:t>
      </w:r>
      <w:r w:rsidRPr="002B2E6A">
        <w:rPr>
          <w:rFonts w:ascii="Inter" w:eastAsia="Times New Roman" w:hAnsi="Inter" w:cs="Times New Roman"/>
          <w:color w:val="1F2D3D"/>
          <w:kern w:val="0"/>
          <w14:ligatures w14:val="none"/>
        </w:rPr>
        <w:t>: Verify that Hodges–Lehmann estimate (40.8 m, 95% CI 27.5–54.1, P &lt; 0.001) is internally consistent with reported medians for each group (sotatercept 34.4 m, placebo 1.0 m).</w:t>
      </w:r>
    </w:p>
    <w:p w14:paraId="400B7E55" w14:textId="77777777" w:rsidR="0049158A" w:rsidRPr="002B2E6A" w:rsidRDefault="0049158A" w:rsidP="0049158A">
      <w:pPr>
        <w:numPr>
          <w:ilvl w:val="0"/>
          <w:numId w:val="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Subgroup claims</w:t>
      </w:r>
      <w:r w:rsidRPr="002B2E6A">
        <w:rPr>
          <w:rFonts w:ascii="Inter" w:eastAsia="Times New Roman" w:hAnsi="Inter" w:cs="Times New Roman"/>
          <w:color w:val="1F2D3D"/>
          <w:kern w:val="0"/>
          <w14:ligatures w14:val="none"/>
        </w:rPr>
        <w:t>: Verify reported claim that “benefit was observed across most prespecified subgroups” by requesting interaction P-values and subgroup-specific CIs (not provided in excerpts).</w:t>
      </w:r>
    </w:p>
    <w:p w14:paraId="13FA4EEF"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0DF19BDC">
          <v:rect id="Horizontal Line 114"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4B2E851"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5. Reporting and Transparency Concerns</w:t>
      </w:r>
    </w:p>
    <w:p w14:paraId="5E871576" w14:textId="77777777" w:rsidR="0049158A" w:rsidRPr="002B2E6A" w:rsidRDefault="0049158A" w:rsidP="0049158A">
      <w:pPr>
        <w:numPr>
          <w:ilvl w:val="0"/>
          <w:numId w:val="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Secondary endpoint results (P-values, CIs, test statistics) should be reported in full for all nine endpoints tested hierarchically.</w:t>
      </w:r>
    </w:p>
    <w:p w14:paraId="7F4F25E2" w14:textId="77777777" w:rsidR="0049158A" w:rsidRPr="002B2E6A" w:rsidRDefault="0049158A" w:rsidP="0049158A">
      <w:pPr>
        <w:numPr>
          <w:ilvl w:val="0"/>
          <w:numId w:val="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Interim analysis charter (timing, stopping rule, boundaries) should be documented in Methods or protocol appendix.</w:t>
      </w:r>
    </w:p>
    <w:p w14:paraId="1A6D3D06" w14:textId="77777777" w:rsidR="0049158A" w:rsidRPr="002B2E6A" w:rsidRDefault="0049158A" w:rsidP="0049158A">
      <w:pPr>
        <w:numPr>
          <w:ilvl w:val="0"/>
          <w:numId w:val="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Time-to-event analysis (death/worsening) should report Kaplan–Meier curves, event counts, hazard ratio, CI, and log-rank P-value.</w:t>
      </w:r>
    </w:p>
    <w:p w14:paraId="6BCAD4A3" w14:textId="77777777" w:rsidR="0049158A" w:rsidRPr="002B2E6A" w:rsidRDefault="0049158A" w:rsidP="0049158A">
      <w:pPr>
        <w:numPr>
          <w:ilvl w:val="0"/>
          <w:numId w:val="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Statistical analysis plan (SAP) should be available to confirm pre-specification of hierarchy, subgroups, and covariate adjustment.</w:t>
      </w:r>
    </w:p>
    <w:p w14:paraId="5F4C59AA" w14:textId="77777777" w:rsidR="0049158A" w:rsidRPr="002B2E6A" w:rsidRDefault="0049158A" w:rsidP="0049158A">
      <w:pPr>
        <w:numPr>
          <w:ilvl w:val="0"/>
          <w:numId w:val="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lastRenderedPageBreak/>
        <w:t>Data sharing statement should specify whether individual participant data will be made available.</w:t>
      </w:r>
    </w:p>
    <w:p w14:paraId="0F18B08B"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251753D3">
          <v:rect id="Horizontal Line 113"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139798C"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6. Claims Needing More Cautious Wording</w:t>
      </w:r>
    </w:p>
    <w:p w14:paraId="54F8BA69" w14:textId="77777777" w:rsidR="0049158A" w:rsidRPr="002B2E6A" w:rsidRDefault="0049158A" w:rsidP="0049158A">
      <w:pPr>
        <w:numPr>
          <w:ilvl w:val="0"/>
          <w:numId w:val="9"/>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“Eight of nine secondary endpoints significantly improved”</w:t>
      </w:r>
      <w:r w:rsidRPr="002B2E6A">
        <w:rPr>
          <w:rFonts w:ascii="Inter" w:eastAsia="Times New Roman" w:hAnsi="Inter" w:cs="Times New Roman"/>
          <w:color w:val="1F2D3D"/>
          <w:kern w:val="0"/>
          <w14:ligatures w14:val="none"/>
        </w:rPr>
        <w:t> → Should specify: with what test statistics, P-values, and confidence intervals, and whether these pass formal hierarchical testing criteria?</w:t>
      </w:r>
    </w:p>
    <w:p w14:paraId="65144414" w14:textId="77777777" w:rsidR="0049158A" w:rsidRPr="002B2E6A" w:rsidRDefault="0049158A" w:rsidP="0049158A">
      <w:pPr>
        <w:numPr>
          <w:ilvl w:val="0"/>
          <w:numId w:val="9"/>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“Risk of death or clinical worsening was 84% lower”</w:t>
      </w:r>
      <w:r w:rsidRPr="002B2E6A">
        <w:rPr>
          <w:rFonts w:ascii="Inter" w:eastAsia="Times New Roman" w:hAnsi="Inter" w:cs="Times New Roman"/>
          <w:color w:val="1F2D3D"/>
          <w:kern w:val="0"/>
          <w14:ligatures w14:val="none"/>
        </w:rPr>
        <w:t> → Should be rephrased as: “The hazard ratio for death or clinical worsening was [HR; 95% CI], corresponding to an X% relative risk reduction (P = …)” with absolute event counts.</w:t>
      </w:r>
    </w:p>
    <w:p w14:paraId="5584AFB8" w14:textId="77777777" w:rsidR="0049158A" w:rsidRPr="002B2E6A" w:rsidRDefault="0049158A" w:rsidP="0049158A">
      <w:pPr>
        <w:numPr>
          <w:ilvl w:val="0"/>
          <w:numId w:val="9"/>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“PAH-SYMPACT Physical Impacts and Cardiopulmonary Symptoms scores improved”</w:t>
      </w:r>
      <w:r w:rsidRPr="002B2E6A">
        <w:rPr>
          <w:rFonts w:ascii="Inter" w:eastAsia="Times New Roman" w:hAnsi="Inter" w:cs="Times New Roman"/>
          <w:color w:val="1F2D3D"/>
          <w:kern w:val="0"/>
          <w14:ligatures w14:val="none"/>
        </w:rPr>
        <w:t> → Should acknowledge: “Although statistically significant, the clinical importance of these improvements is uncertain because minimal clinically important differences have not been established.”</w:t>
      </w:r>
    </w:p>
    <w:p w14:paraId="5E561ABB" w14:textId="77777777" w:rsidR="0049158A" w:rsidRPr="002B2E6A" w:rsidRDefault="0049158A" w:rsidP="0049158A">
      <w:pPr>
        <w:numPr>
          <w:ilvl w:val="0"/>
          <w:numId w:val="9"/>
        </w:num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“Benefit observed across most prespecified subgroups”</w:t>
      </w:r>
      <w:r w:rsidRPr="002B2E6A">
        <w:rPr>
          <w:rFonts w:ascii="Inter" w:eastAsia="Times New Roman" w:hAnsi="Inter" w:cs="Times New Roman"/>
          <w:color w:val="1F2D3D"/>
          <w:kern w:val="0"/>
          <w14:ligatures w14:val="none"/>
        </w:rPr>
        <w:t> → Should quantify: which subgroups showed benefit, with interaction P-values and subgroup-specific 95% CIs for treatment effect?</w:t>
      </w:r>
    </w:p>
    <w:p w14:paraId="284C5F90"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37A32FC8">
          <v:rect id="Horizontal Line 112"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4FAD2CF"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7. Suggested Reviewer Comment</w:t>
      </w:r>
    </w:p>
    <w:p w14:paraId="75760B37"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“This manuscript presents a well-designed randomized controlled trial with a clearly supported primary outcome (6-minute walk distance improvement of 40.8 m, 95% CI 27.5–54.1, P &lt; 0.001). However, several reporting gaps limit transparency of secondary findings:</w:t>
      </w:r>
    </w:p>
    <w:p w14:paraId="4C9929C7"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First, the Results section states that ‘the first eight secondary end points were significantly improved’ but does not provide P-values, confidence intervals, or test statistics for any secondary outcome. The Methods mention hierarchical testing but the alpha allocation, stopping rule, and pre-specification are not detailed in the provided text. Please provide in supplementary tables: (a) the complete hierarchical testing procedure with alpha allocation; (b) P-value and 95% CI for each of the nine secondary endpoints in the order tested; and (c) confirmation from the protocol that this hierarchy was pre-specified.</w:t>
      </w:r>
    </w:p>
    <w:p w14:paraId="2AE4873E"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Second, the claim that ‘risk of death or nonfatal clinical worsening was 84% lower with sotatercept’ lacks supporting statistics. Please provide: absolute event counts (n/N per arm), hazard ratio with 95% CI, follow-up time, and P-value.</w:t>
      </w:r>
    </w:p>
    <w:p w14:paraId="1C252819"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Third, the Discussion acknowledges ‘potential for unblinding owing to side effects such as telangiectasia’ (10.4% vs. 3.1%) and notes that WHO functional class and PAH-SYMPACT scores lack established clinical significance thresholds. These points warrant emphasis in conclusions. Please clarify whether outcome assessors for WHO functional class were blinded to treatment allocation and adverse event data, and report unblinding rates if assessed.</w:t>
      </w:r>
    </w:p>
    <w:p w14:paraId="58800100"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lastRenderedPageBreak/>
        <w:t>Finally, stratification variables and covariate adjustment methods are not fully specified in the Methods section. Please confirm which variables were used for stratification and whether the primary and secondary analyses adjusted for these factors.</w:t>
      </w:r>
    </w:p>
    <w:p w14:paraId="41B34680"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i/>
          <w:iCs/>
          <w:color w:val="1F2D3D"/>
          <w:kern w:val="0"/>
          <w14:ligatures w14:val="none"/>
        </w:rPr>
        <w:t>These clarifications will strengthen transparency and reproducibility.”</w:t>
      </w:r>
    </w:p>
    <w:p w14:paraId="15A46CC0"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1FDBC57C">
          <v:rect id="Horizontal Line 111"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FECC9D4"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8. Overall Assessment for Users</w:t>
      </w:r>
    </w:p>
    <w:p w14:paraId="1A07C02E"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What is supported:</w:t>
      </w:r>
      <w:r w:rsidRPr="002B2E6A">
        <w:rPr>
          <w:rFonts w:ascii="Inter" w:eastAsia="Times New Roman" w:hAnsi="Inter" w:cs="Times New Roman"/>
          <w:color w:val="1F2D3D"/>
          <w:kern w:val="0"/>
          <w14:ligatures w14:val="none"/>
        </w:rPr>
        <w:br/>
        <w:t>The primary conclusion—that sotatercept improves 6-minute walk distance by approximately 41 meters versus placebo at 24 weeks in stable WHO functional class II–III PAH patients on background therapy—is supported by valid randomized design, adequate sample size, and clearly reported effect estimate with confidence interval and P-value.</w:t>
      </w:r>
    </w:p>
    <w:p w14:paraId="36646959"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b/>
          <w:bCs/>
          <w:color w:val="1F2D3D"/>
          <w:kern w:val="0"/>
          <w14:ligatures w14:val="none"/>
        </w:rPr>
        <w:t>What requires caution:</w:t>
      </w:r>
    </w:p>
    <w:p w14:paraId="452A3D7E" w14:textId="77777777" w:rsidR="0049158A" w:rsidRPr="002B2E6A" w:rsidRDefault="0049158A" w:rsidP="0049158A">
      <w:pPr>
        <w:numPr>
          <w:ilvl w:val="0"/>
          <w:numId w:val="1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Secondary outcome claims lack reported P-values and confidence intervals; verification against supplementary materials is necessary.</w:t>
      </w:r>
    </w:p>
    <w:p w14:paraId="0085F387" w14:textId="77777777" w:rsidR="0049158A" w:rsidRPr="002B2E6A" w:rsidRDefault="0049158A" w:rsidP="0049158A">
      <w:pPr>
        <w:numPr>
          <w:ilvl w:val="0"/>
          <w:numId w:val="1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The “84% mortality/morbidity reduction” requires transparent reporting of event counts and hazard ratios.</w:t>
      </w:r>
    </w:p>
    <w:p w14:paraId="2DDC32F9" w14:textId="77777777" w:rsidR="0049158A" w:rsidRPr="002B2E6A" w:rsidRDefault="0049158A" w:rsidP="0049158A">
      <w:pPr>
        <w:numPr>
          <w:ilvl w:val="0"/>
          <w:numId w:val="1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Subjective secondary outcomes (WHO functional class, quality-of-life scores) are vulnerable to unblinding bias via observable adverse events; interpretation should be cautious.</w:t>
      </w:r>
    </w:p>
    <w:p w14:paraId="739C4562" w14:textId="77777777" w:rsidR="0049158A" w:rsidRPr="002B2E6A" w:rsidRDefault="0049158A" w:rsidP="0049158A">
      <w:pPr>
        <w:numPr>
          <w:ilvl w:val="0"/>
          <w:numId w:val="1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PAH-SYMPACT improvements are statistically significant but lack established clinical importance thresholds.</w:t>
      </w:r>
    </w:p>
    <w:p w14:paraId="4D1EBE85" w14:textId="77777777" w:rsidR="0049158A" w:rsidRPr="002B2E6A" w:rsidRDefault="0049158A" w:rsidP="0049158A">
      <w:pPr>
        <w:numPr>
          <w:ilvl w:val="0"/>
          <w:numId w:val="1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Generalizability is limited to WHO class II–III, PVR ≥ 400 dyn·sec·cm⁻⁵, and predominantly White/European populations; findings may not apply to milder disease or diverse populations.</w:t>
      </w:r>
    </w:p>
    <w:p w14:paraId="2F7FC46B"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4D8B119B">
          <v:rect id="Horizontal Line 110"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39EF704"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9. Relevant Knowledge Base Sources</w:t>
      </w:r>
    </w:p>
    <w:p w14:paraId="14772C7F" w14:textId="77777777" w:rsidR="0049158A" w:rsidRPr="002B2E6A" w:rsidRDefault="0049158A" w:rsidP="0049158A">
      <w:pPr>
        <w:numPr>
          <w:ilvl w:val="0"/>
          <w:numId w:val="1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Bailar &amp; Mosteller (1988, KB Entry 1): Statistical reporting clarity and completeness</w:t>
      </w:r>
    </w:p>
    <w:p w14:paraId="3AF2C806" w14:textId="77777777" w:rsidR="0049158A" w:rsidRPr="002B2E6A" w:rsidRDefault="0049158A" w:rsidP="0049158A">
      <w:pPr>
        <w:numPr>
          <w:ilvl w:val="0"/>
          <w:numId w:val="1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McShane et al. (2019, KB Entry 9): Abandon statistical significance—effect size, uncertainty, and design matter</w:t>
      </w:r>
    </w:p>
    <w:p w14:paraId="0EF05763" w14:textId="77777777" w:rsidR="0049158A" w:rsidRPr="002B2E6A" w:rsidRDefault="0049158A" w:rsidP="0049158A">
      <w:pPr>
        <w:numPr>
          <w:ilvl w:val="0"/>
          <w:numId w:val="1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Wilkinson &amp; APA Task Force (1999, KB Entry 53): Effect sizes, interval estimates, and assumption checks essential</w:t>
      </w:r>
    </w:p>
    <w:p w14:paraId="35553633" w14:textId="77777777" w:rsidR="0049158A" w:rsidRPr="002B2E6A" w:rsidRDefault="0049158A" w:rsidP="0049158A">
      <w:pPr>
        <w:numPr>
          <w:ilvl w:val="0"/>
          <w:numId w:val="1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t>Wicherts et al. (2016, KB Entry 11): Researcher degrees of freedom and pre-specification</w:t>
      </w:r>
    </w:p>
    <w:p w14:paraId="210D1613" w14:textId="77777777" w:rsidR="0049158A" w:rsidRPr="002B2E6A" w:rsidRDefault="00C3456C" w:rsidP="0049158A">
      <w:pPr>
        <w:spacing w:after="0" w:line="240" w:lineRule="auto"/>
        <w:rPr>
          <w:rFonts w:ascii="Inter" w:eastAsia="Times New Roman" w:hAnsi="Inter" w:cs="Times New Roman"/>
          <w:kern w:val="0"/>
          <w14:ligatures w14:val="none"/>
        </w:rPr>
      </w:pPr>
      <w:r>
        <w:rPr>
          <w:noProof/>
        </w:rPr>
      </w:r>
      <w:r>
        <w:pict w14:anchorId="511BF9F8">
          <v:rect id="Horizontal Line 109"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E149EB0" w14:textId="77777777" w:rsidR="0049158A" w:rsidRPr="002B2E6A"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2B2E6A">
        <w:rPr>
          <w:rFonts w:ascii="Inter" w:eastAsia="Times New Roman" w:hAnsi="Inter" w:cs="Times New Roman"/>
          <w:color w:val="0B3D91"/>
          <w:kern w:val="0"/>
          <w:sz w:val="36"/>
          <w:szCs w:val="36"/>
          <w14:ligatures w14:val="none"/>
        </w:rPr>
        <w:t>10. Limitation</w:t>
      </w:r>
    </w:p>
    <w:p w14:paraId="481879DD" w14:textId="77777777" w:rsidR="0049158A" w:rsidRPr="002B2E6A"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2B2E6A">
        <w:rPr>
          <w:rFonts w:ascii="Inter" w:eastAsia="Times New Roman" w:hAnsi="Inter" w:cs="Times New Roman"/>
          <w:color w:val="1F2D3D"/>
          <w:kern w:val="0"/>
          <w14:ligatures w14:val="none"/>
        </w:rPr>
        <w:lastRenderedPageBreak/>
        <w:t>This is an AI-assisted whole-paper statistical screen based on text extracted from the uploaded manuscript and supplementary references. It is not a substitute for expert statistical review, domain knowledge assessment, or verification against the complete protocol, supplementary appendix, or peer-review decisions. Full statistical scrutiny requires access to the complete paper, protocol registration, and statistical analysis plan.</w:t>
      </w:r>
    </w:p>
    <w:p w14:paraId="6E07E867" w14:textId="77777777" w:rsidR="0049158A" w:rsidRDefault="0049158A" w:rsidP="0049158A">
      <w:pPr>
        <w:pStyle w:val="ListParagraph"/>
        <w:numPr>
          <w:ilvl w:val="0"/>
          <w:numId w:val="1"/>
        </w:numPr>
      </w:pPr>
      <w:r>
        <w:t>Cardiovascular and renal Outcomes with Empagliflozin in Heart Failure</w:t>
      </w:r>
    </w:p>
    <w:p w14:paraId="406B9E72" w14:textId="77777777" w:rsidR="0049158A" w:rsidRPr="006D3D1C" w:rsidRDefault="0049158A" w:rsidP="0049158A">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6D3D1C">
        <w:rPr>
          <w:rFonts w:ascii="Inter" w:eastAsia="Times New Roman" w:hAnsi="Inter" w:cs="Times New Roman"/>
          <w:color w:val="0B3D91"/>
          <w:kern w:val="36"/>
          <w:sz w:val="48"/>
          <w:szCs w:val="48"/>
          <w14:ligatures w14:val="none"/>
        </w:rPr>
        <w:t>Whole-Paper Review Summary</w:t>
      </w:r>
    </w:p>
    <w:p w14:paraId="7BAA4BF5"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1. Overall Concern Level</w:t>
      </w:r>
    </w:p>
    <w:p w14:paraId="4F310052"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Low-to-Moderate concern</w:t>
      </w:r>
    </w:p>
    <w:p w14:paraId="25E62F78"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The primary endpoint is well-supported by a large, well-designed RCT (N = 3730) with clear effect estimates and statistical significance. However, clarification is needed on: (a) the magnitude of cardiovascular death benefit vs. HF hospitalization benefit within the composite primary outcome, (b) subgroup heterogeneity interpretation without formal interaction testing, and (c) transparency of interim analysis procedures and hierarchical testing alpha allocation.</w:t>
      </w:r>
    </w:p>
    <w:p w14:paraId="0AB7D4BB"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0648F3A1">
          <v:rect id="Horizontal Line 172"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68BE02"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2. Paper Type and Design</w:t>
      </w:r>
    </w:p>
    <w:p w14:paraId="524E35C8"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Double-blind, randomized, placebo-controlled trial (EMPEROR-Reduced, N = 3730) with 1:1 assignment to empagliflozin 10 mg daily or placebo plus standard HF therapy. Primary outcome: composite of cardiovascular death or HF hospitalization. Median follow-up 16 months. Interim analysis with pre-specified stopping boundaries conducted. RCT design appropriately controls for confounding via randomization.</w:t>
      </w:r>
    </w:p>
    <w:p w14:paraId="1D721871"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348A13C3">
          <v:rect id="Horizontal Line 173"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207846"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3. Big-Picture Statistical Concerns</w:t>
      </w:r>
    </w:p>
    <w:p w14:paraId="21B2EB60" w14:textId="77777777" w:rsidR="0049158A" w:rsidRPr="006D3D1C" w:rsidRDefault="0049158A" w:rsidP="0049158A">
      <w:pPr>
        <w:numPr>
          <w:ilvl w:val="0"/>
          <w:numId w:val="18"/>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Composite primary outcome—magnitude of cardiovascular death benefit unspecified</w:t>
      </w:r>
    </w:p>
    <w:p w14:paraId="67FC8276"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i/>
          <w:iCs/>
          <w:color w:val="1F2D3D"/>
          <w:kern w:val="0"/>
          <w14:ligatures w14:val="none"/>
        </w:rPr>
        <w:t>Label:</w:t>
      </w:r>
      <w:r w:rsidRPr="006D3D1C">
        <w:rPr>
          <w:rFonts w:ascii="Inter" w:eastAsia="Times New Roman" w:hAnsi="Inter" w:cs="Times New Roman"/>
          <w:color w:val="1F2D3D"/>
          <w:kern w:val="0"/>
          <w14:ligatures w14:val="none"/>
        </w:rPr>
        <w:t> </w:t>
      </w:r>
      <w:r w:rsidRPr="006D3D1C">
        <w:rPr>
          <w:rFonts w:ascii="Inter" w:eastAsia="Times New Roman" w:hAnsi="Inter" w:cs="Times New Roman"/>
          <w:b/>
          <w:bCs/>
          <w:color w:val="1F2D3D"/>
          <w:kern w:val="0"/>
          <w14:ligatures w14:val="none"/>
        </w:rPr>
        <w:t>Moderate interpretation concern</w:t>
      </w:r>
    </w:p>
    <w:p w14:paraId="5D25D8BC"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Primary outcome HR 0.75 (95% CI 0.65–0.86; P &lt; 0.001) combines cardiovascular death and HF hospitalization</w:t>
      </w:r>
    </w:p>
    <w:p w14:paraId="0FF88568"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Discussion states benefit “primarily related to 31% lower risk of hospitalization for heart failure” (HR 0.70)</w:t>
      </w:r>
    </w:p>
    <w:p w14:paraId="4C22A9D7"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HR for cardiovascular death alone not reported in provided excerpts</w:t>
      </w:r>
    </w:p>
    <w:p w14:paraId="68DA8CBF"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Cannot assess whether mortality benefit is clinically meaningful or negligible without this decomposition</w:t>
      </w:r>
    </w:p>
    <w:p w14:paraId="23566DF4"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lastRenderedPageBreak/>
        <w:t>Verification needed:</w:t>
      </w:r>
      <w:r w:rsidRPr="006D3D1C">
        <w:rPr>
          <w:rFonts w:ascii="Inter" w:eastAsia="Times New Roman" w:hAnsi="Inter" w:cs="Times New Roman"/>
          <w:color w:val="1F2D3D"/>
          <w:kern w:val="0"/>
          <w14:ligatures w14:val="none"/>
        </w:rPr>
        <w:t> Report HR, 95% CI, and event counts for cardiovascular death alone; clarify proportion of composite events attributable to death vs. hospitalization</w:t>
      </w:r>
    </w:p>
    <w:p w14:paraId="45C4F911" w14:textId="77777777" w:rsidR="0049158A" w:rsidRPr="006D3D1C" w:rsidRDefault="0049158A" w:rsidP="0049158A">
      <w:pPr>
        <w:numPr>
          <w:ilvl w:val="0"/>
          <w:numId w:val="18"/>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Subgroup heterogeneity visible but interaction testing not reported in provided text</w:t>
      </w:r>
    </w:p>
    <w:p w14:paraId="3093C955"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i/>
          <w:iCs/>
          <w:color w:val="1F2D3D"/>
          <w:kern w:val="0"/>
          <w14:ligatures w14:val="none"/>
        </w:rPr>
        <w:t>Label:</w:t>
      </w:r>
      <w:r w:rsidRPr="006D3D1C">
        <w:rPr>
          <w:rFonts w:ascii="Inter" w:eastAsia="Times New Roman" w:hAnsi="Inter" w:cs="Times New Roman"/>
          <w:color w:val="1F2D3D"/>
          <w:kern w:val="0"/>
          <w14:ligatures w14:val="none"/>
        </w:rPr>
        <w:t> </w:t>
      </w:r>
      <w:r w:rsidRPr="006D3D1C">
        <w:rPr>
          <w:rFonts w:ascii="Inter" w:eastAsia="Times New Roman" w:hAnsi="Inter" w:cs="Times New Roman"/>
          <w:b/>
          <w:bCs/>
          <w:color w:val="1F2D3D"/>
          <w:kern w:val="0"/>
          <w14:ligatures w14:val="none"/>
        </w:rPr>
        <w:t>Moderate interpretation concern / Not assessable without supplement/protocol</w:t>
      </w:r>
    </w:p>
    <w:p w14:paraId="309F98A6"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Forest plot (Figure 2) shows marked variation across subgroups (e.g., White HR 0.88 CI includes 1.0; Black HR 0.46; LVEF &gt;30% HR 0.99; LVEF ≤30% HR 0.65)</w:t>
      </w:r>
    </w:p>
    <w:p w14:paraId="75AFD8D1"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Subgroup analyses acknowledged as prespecified but no formal treatment-by-subgroup interaction P-values shown in excerpts</w:t>
      </w:r>
    </w:p>
    <w:p w14:paraId="761DB2D3"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Per Wang et al. 2007 (KB Entry 52), prespecified subgroup reporting is standard, but interaction testing strengthens interpretation</w:t>
      </w:r>
    </w:p>
    <w:p w14:paraId="6C622DE1"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Overlapping CIs suggest variation may reflect noise, not causal heterogeneity</w:t>
      </w:r>
    </w:p>
    <w:p w14:paraId="0D86F9DE"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Verification needed:</w:t>
      </w:r>
      <w:r w:rsidRPr="006D3D1C">
        <w:rPr>
          <w:rFonts w:ascii="Inter" w:eastAsia="Times New Roman" w:hAnsi="Inter" w:cs="Times New Roman"/>
          <w:color w:val="1F2D3D"/>
          <w:kern w:val="0"/>
          <w14:ligatures w14:val="none"/>
        </w:rPr>
        <w:t> Confirm pre-specification in SAP; provide interaction P-values for major subgroup variables in supplement</w:t>
      </w:r>
    </w:p>
    <w:p w14:paraId="0E2C6722" w14:textId="77777777" w:rsidR="0049158A" w:rsidRPr="006D3D1C" w:rsidRDefault="0049158A" w:rsidP="0049158A">
      <w:pPr>
        <w:numPr>
          <w:ilvl w:val="0"/>
          <w:numId w:val="18"/>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Hierarchical testing alpha allocation and interim analysis procedures incompletely described</w:t>
      </w:r>
    </w:p>
    <w:p w14:paraId="587D40A4"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i/>
          <w:iCs/>
          <w:color w:val="1F2D3D"/>
          <w:kern w:val="0"/>
          <w14:ligatures w14:val="none"/>
        </w:rPr>
        <w:t>Label:</w:t>
      </w:r>
      <w:r w:rsidRPr="006D3D1C">
        <w:rPr>
          <w:rFonts w:ascii="Inter" w:eastAsia="Times New Roman" w:hAnsi="Inter" w:cs="Times New Roman"/>
          <w:color w:val="1F2D3D"/>
          <w:kern w:val="0"/>
          <w14:ligatures w14:val="none"/>
        </w:rPr>
        <w:t> </w:t>
      </w:r>
      <w:r w:rsidRPr="006D3D1C">
        <w:rPr>
          <w:rFonts w:ascii="Inter" w:eastAsia="Times New Roman" w:hAnsi="Inter" w:cs="Times New Roman"/>
          <w:b/>
          <w:bCs/>
          <w:color w:val="1F2D3D"/>
          <w:kern w:val="0"/>
          <w14:ligatures w14:val="none"/>
        </w:rPr>
        <w:t>Standard reviewer check / Not assessable without supplement/protocol</w:t>
      </w:r>
    </w:p>
    <w:p w14:paraId="5825C3BF"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Methods state “one-sided alpha level of approximately 0.001” for primary outcome and cardiovascular death</w:t>
      </w:r>
    </w:p>
    <w:p w14:paraId="3BD34D01"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Text mentions “remaining alpha…reserved for…meta-analysis with EMPEROR-Preserve trial” but exact allocation to HF hospitalization and GFR slope not specified</w:t>
      </w:r>
    </w:p>
    <w:p w14:paraId="343DF84E"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One-sided α = 0.001 reflects interim stopping design (standard practice) but specifics (timing, spending function, stopping boundaries) not detailed in main text</w:t>
      </w:r>
    </w:p>
    <w:p w14:paraId="486B931D"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SAP referenced as “available at NEJM.org” likely contains full details</w:t>
      </w:r>
    </w:p>
    <w:p w14:paraId="61F7A403"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Verification needed:</w:t>
      </w:r>
      <w:r w:rsidRPr="006D3D1C">
        <w:rPr>
          <w:rFonts w:ascii="Inter" w:eastAsia="Times New Roman" w:hAnsi="Inter" w:cs="Times New Roman"/>
          <w:color w:val="1F2D3D"/>
          <w:kern w:val="0"/>
          <w14:ligatures w14:val="none"/>
        </w:rPr>
        <w:t> Confirm interim analysis charter (timing, stopping rule, spending function) and complete alpha allocation sequence in SAP</w:t>
      </w:r>
    </w:p>
    <w:p w14:paraId="745BF72E" w14:textId="77777777" w:rsidR="0049158A" w:rsidRPr="006D3D1C" w:rsidRDefault="0049158A" w:rsidP="0049158A">
      <w:pPr>
        <w:numPr>
          <w:ilvl w:val="0"/>
          <w:numId w:val="18"/>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Adverse event frequencies—key safety data missing from excerpts</w:t>
      </w:r>
    </w:p>
    <w:p w14:paraId="072695BA"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i/>
          <w:iCs/>
          <w:color w:val="1F2D3D"/>
          <w:kern w:val="0"/>
          <w14:ligatures w14:val="none"/>
        </w:rPr>
        <w:t>Label:</w:t>
      </w:r>
      <w:r w:rsidRPr="006D3D1C">
        <w:rPr>
          <w:rFonts w:ascii="Inter" w:eastAsia="Times New Roman" w:hAnsi="Inter" w:cs="Times New Roman"/>
          <w:color w:val="1F2D3D"/>
          <w:kern w:val="0"/>
          <w14:ligatures w14:val="none"/>
        </w:rPr>
        <w:t> </w:t>
      </w:r>
      <w:r w:rsidRPr="006D3D1C">
        <w:rPr>
          <w:rFonts w:ascii="Inter" w:eastAsia="Times New Roman" w:hAnsi="Inter" w:cs="Times New Roman"/>
          <w:b/>
          <w:bCs/>
          <w:color w:val="1F2D3D"/>
          <w:kern w:val="0"/>
          <w14:ligatures w14:val="none"/>
        </w:rPr>
        <w:t>Reporting gap from extracted text</w:t>
      </w:r>
    </w:p>
    <w:p w14:paraId="6E4AB757"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Genital tract infection “reported more frequently” but event counts not provided</w:t>
      </w:r>
    </w:p>
    <w:p w14:paraId="43687C57"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Hypoglycemia, lower limb amputation, bone fracture “did not differ” but frequencies not specified</w:t>
      </w:r>
    </w:p>
    <w:p w14:paraId="1A76F97D"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Cannot assess clinical significance or statistical power for safety comparisons without event counts</w:t>
      </w:r>
    </w:p>
    <w:p w14:paraId="614DE8C1"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Verification needed:</w:t>
      </w:r>
      <w:r w:rsidRPr="006D3D1C">
        <w:rPr>
          <w:rFonts w:ascii="Inter" w:eastAsia="Times New Roman" w:hAnsi="Inter" w:cs="Times New Roman"/>
          <w:color w:val="1F2D3D"/>
          <w:kern w:val="0"/>
          <w14:ligatures w14:val="none"/>
        </w:rPr>
        <w:t> Report event counts, rates, and 95% CIs for genital infection and safety comparisons</w:t>
      </w:r>
    </w:p>
    <w:p w14:paraId="04E724BC" w14:textId="77777777" w:rsidR="0049158A" w:rsidRPr="006D3D1C" w:rsidRDefault="0049158A" w:rsidP="0049158A">
      <w:pPr>
        <w:numPr>
          <w:ilvl w:val="0"/>
          <w:numId w:val="18"/>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Proportional hazards assumption not tested or discussed</w:t>
      </w:r>
    </w:p>
    <w:p w14:paraId="3278F400"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i/>
          <w:iCs/>
          <w:color w:val="1F2D3D"/>
          <w:kern w:val="0"/>
          <w14:ligatures w14:val="none"/>
        </w:rPr>
        <w:t>Label:</w:t>
      </w:r>
      <w:r w:rsidRPr="006D3D1C">
        <w:rPr>
          <w:rFonts w:ascii="Inter" w:eastAsia="Times New Roman" w:hAnsi="Inter" w:cs="Times New Roman"/>
          <w:color w:val="1F2D3D"/>
          <w:kern w:val="0"/>
          <w14:ligatures w14:val="none"/>
        </w:rPr>
        <w:t> </w:t>
      </w:r>
      <w:r w:rsidRPr="006D3D1C">
        <w:rPr>
          <w:rFonts w:ascii="Inter" w:eastAsia="Times New Roman" w:hAnsi="Inter" w:cs="Times New Roman"/>
          <w:b/>
          <w:bCs/>
          <w:color w:val="1F2D3D"/>
          <w:kern w:val="0"/>
          <w14:ligatures w14:val="none"/>
        </w:rPr>
        <w:t>Standard reviewer check</w:t>
      </w:r>
    </w:p>
    <w:p w14:paraId="65356436"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Cox model used for primary and secondary outcomes without mention of assumption testing</w:t>
      </w:r>
    </w:p>
    <w:p w14:paraId="4C525F02"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lastRenderedPageBreak/>
        <w:t>If violated, HR estimates may be misleading</w:t>
      </w:r>
    </w:p>
    <w:p w14:paraId="0F139F14"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Absence of mention may indicate routine compliance (no violations) but should be verified</w:t>
      </w:r>
    </w:p>
    <w:p w14:paraId="7ECA8373" w14:textId="77777777" w:rsidR="0049158A" w:rsidRPr="006D3D1C" w:rsidRDefault="0049158A" w:rsidP="0049158A">
      <w:pPr>
        <w:numPr>
          <w:ilvl w:val="1"/>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Verification needed:</w:t>
      </w:r>
      <w:r w:rsidRPr="006D3D1C">
        <w:rPr>
          <w:rFonts w:ascii="Inter" w:eastAsia="Times New Roman" w:hAnsi="Inter" w:cs="Times New Roman"/>
          <w:color w:val="1F2D3D"/>
          <w:kern w:val="0"/>
          <w14:ligatures w14:val="none"/>
        </w:rPr>
        <w:t> Confirm proportional hazards assumption testing (Schoenfeld residuals, log-log plots); report results or sensitivity analyses if violated</w:t>
      </w:r>
    </w:p>
    <w:p w14:paraId="3A21D408"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76469AEB">
          <v:rect id="Horizontal Line 174"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CFF71F"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4. Internal Consistency Checks</w:t>
      </w:r>
    </w:p>
    <w:p w14:paraId="4B482D4A" w14:textId="77777777" w:rsidR="0049158A" w:rsidRPr="006D3D1C" w:rsidRDefault="0049158A" w:rsidP="0049158A">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Sample size and power:</w:t>
      </w:r>
      <w:r w:rsidRPr="006D3D1C">
        <w:rPr>
          <w:rFonts w:ascii="Inter" w:eastAsia="Times New Roman" w:hAnsi="Inter" w:cs="Times New Roman"/>
          <w:color w:val="1F2D3D"/>
          <w:kern w:val="0"/>
          <w14:ligatures w14:val="none"/>
        </w:rPr>
        <w:t> Confirm 3730 randomized (1863 empagliflozin, 1867 placebo); 361/1863 (19.4%) vs. 462/1867 (24.7%) primary outcome events; verify event count matches ~228 expected for 80% power</w:t>
      </w:r>
    </w:p>
    <w:p w14:paraId="2AFE3F3C" w14:textId="77777777" w:rsidR="0049158A" w:rsidRPr="006D3D1C" w:rsidRDefault="0049158A" w:rsidP="0049158A">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Baseline balance:</w:t>
      </w:r>
      <w:r w:rsidRPr="006D3D1C">
        <w:rPr>
          <w:rFonts w:ascii="Inter" w:eastAsia="Times New Roman" w:hAnsi="Inter" w:cs="Times New Roman"/>
          <w:color w:val="1F2D3D"/>
          <w:kern w:val="0"/>
          <w14:ligatures w14:val="none"/>
        </w:rPr>
        <w:t> Table 1 shows well-balanced groups across age, LVEF, NT-proBNP, medications, device therapy; confirm no imbalance requiring post-hoc adjustment</w:t>
      </w:r>
    </w:p>
    <w:p w14:paraId="76CCA1FB" w14:textId="77777777" w:rsidR="0049158A" w:rsidRPr="006D3D1C" w:rsidRDefault="0049158A" w:rsidP="0049158A">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Composite outcome decomposition:</w:t>
      </w:r>
      <w:r w:rsidRPr="006D3D1C">
        <w:rPr>
          <w:rFonts w:ascii="Inter" w:eastAsia="Times New Roman" w:hAnsi="Inter" w:cs="Times New Roman"/>
          <w:color w:val="1F2D3D"/>
          <w:kern w:val="0"/>
          <w14:ligatures w14:val="none"/>
        </w:rPr>
        <w:t> Verify primary outcome HR 0.75 is consistent with HF hospitalization HR 0.70 and (unreported) cardiovascular death HR; calculate implied mortality HR</w:t>
      </w:r>
    </w:p>
    <w:p w14:paraId="236F1B70" w14:textId="77777777" w:rsidR="0049158A" w:rsidRPr="006D3D1C" w:rsidRDefault="0049158A" w:rsidP="0049158A">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GFR slope</w:t>
      </w:r>
      <w:r w:rsidRPr="006D3D1C">
        <w:rPr>
          <w:rFonts w:ascii="Inter" w:eastAsia="Times New Roman" w:hAnsi="Inter" w:cs="Times New Roman"/>
          <w:color w:val="1F2D3D"/>
          <w:kern w:val="0"/>
          <w14:ligatures w14:val="none"/>
        </w:rPr>
        <w:t>: Confirm annual decline –0.55 (empagliflozin) vs. –2.28 (placebo) ml/min/1.73 m² per year; verify P &lt; 0.001</w:t>
      </w:r>
    </w:p>
    <w:p w14:paraId="787C57E6" w14:textId="77777777" w:rsidR="0049158A" w:rsidRPr="006D3D1C" w:rsidRDefault="0049158A" w:rsidP="0049158A">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Subgroup CIs:</w:t>
      </w:r>
      <w:r w:rsidRPr="006D3D1C">
        <w:rPr>
          <w:rFonts w:ascii="Inter" w:eastAsia="Times New Roman" w:hAnsi="Inter" w:cs="Times New Roman"/>
          <w:color w:val="1F2D3D"/>
          <w:kern w:val="0"/>
          <w14:ligatures w14:val="none"/>
        </w:rPr>
        <w:t> Check that forest plot CIs for race, LVEF/NT-proBNP, and sex are correctly calculated from event counts</w:t>
      </w:r>
    </w:p>
    <w:p w14:paraId="554505F1" w14:textId="77777777" w:rsidR="0049158A" w:rsidRPr="006D3D1C" w:rsidRDefault="0049158A" w:rsidP="0049158A">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Enrollment and attrition:</w:t>
      </w:r>
      <w:r w:rsidRPr="006D3D1C">
        <w:rPr>
          <w:rFonts w:ascii="Inter" w:eastAsia="Times New Roman" w:hAnsi="Inter" w:cs="Times New Roman"/>
          <w:color w:val="1F2D3D"/>
          <w:kern w:val="0"/>
          <w14:ligatures w14:val="none"/>
        </w:rPr>
        <w:t> Verify 3730 randomized, ~387/440 and 377/439 completed treatment; clarify dropout/missing outcome data rates</w:t>
      </w:r>
    </w:p>
    <w:p w14:paraId="5401E443"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22735B45">
          <v:rect id="Horizontal Line 175"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9EC5E3"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5. Reporting and Transparency Concerns</w:t>
      </w:r>
    </w:p>
    <w:p w14:paraId="511A96B7" w14:textId="77777777" w:rsidR="0049158A" w:rsidRPr="006D3D1C" w:rsidRDefault="0049158A" w:rsidP="0049158A">
      <w:pPr>
        <w:numPr>
          <w:ilvl w:val="0"/>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Cardiovascular death HR and event counts:</w:t>
      </w:r>
      <w:r w:rsidRPr="006D3D1C">
        <w:rPr>
          <w:rFonts w:ascii="Inter" w:eastAsia="Times New Roman" w:hAnsi="Inter" w:cs="Times New Roman"/>
          <w:color w:val="1F2D3D"/>
          <w:kern w:val="0"/>
          <w14:ligatures w14:val="none"/>
        </w:rPr>
        <w:t> Not shown in provided text; should be accessible in full Results section or supplementary tables</w:t>
      </w:r>
    </w:p>
    <w:p w14:paraId="0414D0FD" w14:textId="77777777" w:rsidR="0049158A" w:rsidRPr="006D3D1C" w:rsidRDefault="0049158A" w:rsidP="0049158A">
      <w:pPr>
        <w:numPr>
          <w:ilvl w:val="0"/>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Interim analysis specifics:</w:t>
      </w:r>
      <w:r w:rsidRPr="006D3D1C">
        <w:rPr>
          <w:rFonts w:ascii="Inter" w:eastAsia="Times New Roman" w:hAnsi="Inter" w:cs="Times New Roman"/>
          <w:color w:val="1F2D3D"/>
          <w:kern w:val="0"/>
          <w14:ligatures w14:val="none"/>
        </w:rPr>
        <w:t> “Prespecified stopping boundaries” mentioned but exact thresholds (Pocock, O’Brien–Fleming, or other spending function) and actual interim results not detailed in excerpts</w:t>
      </w:r>
    </w:p>
    <w:p w14:paraId="2DA2199B" w14:textId="77777777" w:rsidR="0049158A" w:rsidRPr="006D3D1C" w:rsidRDefault="0049158A" w:rsidP="0049158A">
      <w:pPr>
        <w:numPr>
          <w:ilvl w:val="0"/>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Hierarchical testing sequence:</w:t>
      </w:r>
      <w:r w:rsidRPr="006D3D1C">
        <w:rPr>
          <w:rFonts w:ascii="Inter" w:eastAsia="Times New Roman" w:hAnsi="Inter" w:cs="Times New Roman"/>
          <w:color w:val="1F2D3D"/>
          <w:kern w:val="0"/>
          <w14:ligatures w14:val="none"/>
        </w:rPr>
        <w:t> Complete alpha allocation across secondary outcomes (cardiovascular death, HF hospitalization, GFR slope, serious renal outcomes) not fully specified; typical detail in SAP</w:t>
      </w:r>
    </w:p>
    <w:p w14:paraId="3EBD22C7" w14:textId="77777777" w:rsidR="0049158A" w:rsidRPr="006D3D1C" w:rsidRDefault="0049158A" w:rsidP="0049158A">
      <w:pPr>
        <w:numPr>
          <w:ilvl w:val="0"/>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Subgroup interaction P-values:</w:t>
      </w:r>
      <w:r w:rsidRPr="006D3D1C">
        <w:rPr>
          <w:rFonts w:ascii="Inter" w:eastAsia="Times New Roman" w:hAnsi="Inter" w:cs="Times New Roman"/>
          <w:color w:val="1F2D3D"/>
          <w:kern w:val="0"/>
          <w14:ligatures w14:val="none"/>
        </w:rPr>
        <w:t> Figure 2 forest plot does not show formal treatment-by-subgroup interaction tests; these may be in supplementary materials</w:t>
      </w:r>
    </w:p>
    <w:p w14:paraId="78EC1377" w14:textId="77777777" w:rsidR="0049158A" w:rsidRPr="006D3D1C" w:rsidRDefault="0049158A" w:rsidP="0049158A">
      <w:pPr>
        <w:numPr>
          <w:ilvl w:val="0"/>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Safety event counts:</w:t>
      </w:r>
      <w:r w:rsidRPr="006D3D1C">
        <w:rPr>
          <w:rFonts w:ascii="Inter" w:eastAsia="Times New Roman" w:hAnsi="Inter" w:cs="Times New Roman"/>
          <w:color w:val="1F2D3D"/>
          <w:kern w:val="0"/>
          <w14:ligatures w14:val="none"/>
        </w:rPr>
        <w:t> Genital tract infection, hypoglycemia, amputation, bone fracture reported qualitatively without frequencies or confidence intervals</w:t>
      </w:r>
    </w:p>
    <w:p w14:paraId="13B3C102" w14:textId="77777777" w:rsidR="0049158A" w:rsidRPr="006D3D1C" w:rsidRDefault="0049158A" w:rsidP="0049158A">
      <w:pPr>
        <w:numPr>
          <w:ilvl w:val="0"/>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Proportional hazards assumption:</w:t>
      </w:r>
      <w:r w:rsidRPr="006D3D1C">
        <w:rPr>
          <w:rFonts w:ascii="Inter" w:eastAsia="Times New Roman" w:hAnsi="Inter" w:cs="Times New Roman"/>
          <w:color w:val="1F2D3D"/>
          <w:kern w:val="0"/>
          <w14:ligatures w14:val="none"/>
        </w:rPr>
        <w:t> No mention of testing or diagnostics; verification needed</w:t>
      </w:r>
    </w:p>
    <w:p w14:paraId="7200181B" w14:textId="77777777" w:rsidR="0049158A" w:rsidRPr="006D3D1C" w:rsidRDefault="0049158A" w:rsidP="0049158A">
      <w:pPr>
        <w:numPr>
          <w:ilvl w:val="0"/>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Missing data and dropout rates:</w:t>
      </w:r>
      <w:r w:rsidRPr="006D3D1C">
        <w:rPr>
          <w:rFonts w:ascii="Inter" w:eastAsia="Times New Roman" w:hAnsi="Inter" w:cs="Times New Roman"/>
          <w:color w:val="1F2D3D"/>
          <w:kern w:val="0"/>
          <w14:ligatures w14:val="none"/>
        </w:rPr>
        <w:t> ITT analysis claimed but missing data percentages and imputation methods not reported in excerpts</w:t>
      </w:r>
    </w:p>
    <w:p w14:paraId="08A9AE5C"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0B39C8FA">
          <v:rect id="Horizontal Line 176"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92BE22"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6. Claims Needing More Cautious Wording</w:t>
      </w:r>
    </w:p>
    <w:p w14:paraId="48951FD4" w14:textId="77777777" w:rsidR="0049158A" w:rsidRPr="006D3D1C" w:rsidRDefault="0049158A" w:rsidP="0049158A">
      <w:pPr>
        <w:numPr>
          <w:ilvl w:val="0"/>
          <w:numId w:val="21"/>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“Benefits were primarily related to 31% lower risk of hospitalization for heart failure”</w:t>
      </w:r>
      <w:r w:rsidRPr="006D3D1C">
        <w:rPr>
          <w:rFonts w:ascii="Inter" w:eastAsia="Times New Roman" w:hAnsi="Inter" w:cs="Times New Roman"/>
          <w:color w:val="1F2D3D"/>
          <w:kern w:val="0"/>
          <w14:ligatures w14:val="none"/>
        </w:rPr>
        <w:t> → Should specify: “…with the cardiovascular death benefit magnitude unspecified; HR for mortality should be reported separately to clarify the relative contribution of death vs. hospitalization to the composite outcome benefit.”</w:t>
      </w:r>
    </w:p>
    <w:p w14:paraId="1BF2DD10" w14:textId="77777777" w:rsidR="0049158A" w:rsidRPr="006D3D1C" w:rsidRDefault="0049158A" w:rsidP="0049158A">
      <w:pPr>
        <w:numPr>
          <w:ilvl w:val="0"/>
          <w:numId w:val="21"/>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“Benefits were seen regardless of the presence or absence of diabetes”</w:t>
      </w:r>
      <w:r w:rsidRPr="006D3D1C">
        <w:rPr>
          <w:rFonts w:ascii="Inter" w:eastAsia="Times New Roman" w:hAnsi="Inter" w:cs="Times New Roman"/>
          <w:color w:val="1F2D3D"/>
          <w:kern w:val="0"/>
          <w14:ligatures w14:val="none"/>
        </w:rPr>
        <w:t> → Should add: “…though CIs overlap between diabetes (HR 0.72) and no-diabetes (HR 0.78) subgroups; formal interaction P-value would clarify whether this difference is statistically significant.”</w:t>
      </w:r>
    </w:p>
    <w:p w14:paraId="4F176882" w14:textId="77777777" w:rsidR="0049158A" w:rsidRPr="006D3D1C" w:rsidRDefault="0049158A" w:rsidP="0049158A">
      <w:pPr>
        <w:numPr>
          <w:ilvl w:val="0"/>
          <w:numId w:val="21"/>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“Consistency across subgroups”</w:t>
      </w:r>
      <w:r w:rsidRPr="006D3D1C">
        <w:rPr>
          <w:rFonts w:ascii="Inter" w:eastAsia="Times New Roman" w:hAnsi="Inter" w:cs="Times New Roman"/>
          <w:color w:val="1F2D3D"/>
          <w:kern w:val="0"/>
          <w14:ligatures w14:val="none"/>
        </w:rPr>
        <w:t> (Abstract claim) → Should clarify: “…most subgroups showed benefit, but notable heterogeneity was observed (e.g., White race HR 0.88 with CI including 1.0, suggesting no benefit in this subgroup; formal subgroup interaction testing would strengthen interpretation of apparent heterogeneity).”</w:t>
      </w:r>
    </w:p>
    <w:p w14:paraId="501117D2" w14:textId="77777777" w:rsidR="0049158A" w:rsidRPr="006D3D1C" w:rsidRDefault="0049158A" w:rsidP="0049158A">
      <w:pPr>
        <w:numPr>
          <w:ilvl w:val="0"/>
          <w:numId w:val="21"/>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“Empagliflozin slowed the rate of decline in estimated GFR”</w:t>
      </w:r>
      <w:r w:rsidRPr="006D3D1C">
        <w:rPr>
          <w:rFonts w:ascii="Inter" w:eastAsia="Times New Roman" w:hAnsi="Inter" w:cs="Times New Roman"/>
          <w:color w:val="1F2D3D"/>
          <w:kern w:val="0"/>
          <w14:ligatures w14:val="none"/>
        </w:rPr>
        <w:t> → Acceptable as stated for treatment period; add: “Post-treatment GFR comparisons mentioned in Discussion should be clarified regarding pre-specification and analysis timing.”</w:t>
      </w:r>
    </w:p>
    <w:p w14:paraId="3ACBAFE7"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054410CD">
          <v:rect id="Horizontal Line 177"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27F7E0"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7. Suggested Reviewer Comment</w:t>
      </w:r>
    </w:p>
    <w:p w14:paraId="1F5D26BE"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“This large, well-conducted RCT demonstrates empagliflozin benefit in HF with reduced ejection fraction. The primary composite outcome (HR 0.75, 95% CI 0.65–0.86, P &lt; 0.001) is statistically significant and clinically meaningful.</w:t>
      </w:r>
    </w:p>
    <w:p w14:paraId="53A3FCBF"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However, several clarifications would strengthen the manuscript:</w:t>
      </w:r>
    </w:p>
    <w:p w14:paraId="55240E4B"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First, the magnitude of benefit appears driven primarily by HF hospitalization reduction (HR 0.70) rather than cardiovascular death reduction. The HR for cardiovascular death alone is not provided in the excerpts; providing this estimate (with event counts and 95% CI) would clarify the relative contribution of mortality vs. hospitalization benefit and help readers assess clinical significance.</w:t>
      </w:r>
    </w:p>
    <w:p w14:paraId="63452418"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Second, subgroup analyses show visible heterogeneity (e.g., White HR 0.88 with CI including 1.0, suggesting no benefit; Black HR 0.46; LVEF &gt;30% HR 0.99 vs. LVEF ≤30% HR 0.65). While subgroups were prespecified, formal treatment-by-subgroup interaction P-values (likely in supplementary materials) would strengthen interpretation and distinguish true heterogeneity from sampling variation.</w:t>
      </w:r>
    </w:p>
    <w:p w14:paraId="6E86862E"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Third, adverse event comparisons lack event counts: genital tract infection is stated as ‘more frequent’ and hypoglycemia/amputation/fracture as ‘no difference’ without frequencies. Providing these data (with 95% CIs) would allow readers to independently assess clinical and statistical significance.</w:t>
      </w:r>
    </w:p>
    <w:p w14:paraId="39D68E45"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lastRenderedPageBreak/>
        <w:t>Fourth, the interim analysis is mentioned with ‘prespecified stopping boundaries,’ but details (timing, stopping rule, spending function) are not provided in the main text. The Statistical Analysis Plan (referenced as available at NEJM.org) should clarify the one-sided α = 0.001 allocation and hierarchical testing sequence.</w:t>
      </w:r>
    </w:p>
    <w:p w14:paraId="771CB4C5"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These clarifications do not affect the primary conclusion but would improve transparency and reproducibility.”</w:t>
      </w:r>
    </w:p>
    <w:p w14:paraId="234FE341"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7AC42319">
          <v:rect id="Horizontal Line 178"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CDE77D"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8. Overall Assessment for Users</w:t>
      </w:r>
    </w:p>
    <w:p w14:paraId="58368D10"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Supported conclusion:</w:t>
      </w:r>
      <w:r w:rsidRPr="006D3D1C">
        <w:rPr>
          <w:rFonts w:ascii="Inter" w:eastAsia="Times New Roman" w:hAnsi="Inter" w:cs="Times New Roman"/>
          <w:color w:val="1F2D3D"/>
          <w:kern w:val="0"/>
          <w14:ligatures w14:val="none"/>
        </w:rPr>
        <w:br/>
        <w:t>Empagliflozin reduces the composite risk of cardiovascular death or HF hospitalization by 25% (HR 0.75, 95% CI 0.65–0.86, P &lt; 0.001) in patients with HF and reduced ejection fraction receiving standard therapy. Benefit is driven primarily by HF hospitalization reduction. Renal function decline is slowed with empagliflozin.</w:t>
      </w:r>
    </w:p>
    <w:p w14:paraId="3FCE72CF"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Findings requiring cautious interpretation:</w:t>
      </w:r>
    </w:p>
    <w:p w14:paraId="6E173A6D" w14:textId="77777777" w:rsidR="0049158A" w:rsidRPr="006D3D1C" w:rsidRDefault="0049158A" w:rsidP="0049158A">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Cardiovascular death benefit unspecified:</w:t>
      </w:r>
      <w:r w:rsidRPr="006D3D1C">
        <w:rPr>
          <w:rFonts w:ascii="Inter" w:eastAsia="Times New Roman" w:hAnsi="Inter" w:cs="Times New Roman"/>
          <w:color w:val="1F2D3D"/>
          <w:kern w:val="0"/>
          <w14:ligatures w14:val="none"/>
        </w:rPr>
        <w:t> The primary outcome is composite; decomposition into death vs. hospitalization effects is needed to assess mortality benefit separately</w:t>
      </w:r>
    </w:p>
    <w:p w14:paraId="0C294F87" w14:textId="77777777" w:rsidR="0049158A" w:rsidRPr="006D3D1C" w:rsidRDefault="0049158A" w:rsidP="0049158A">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Subgroup heterogeneity not formally tested:</w:t>
      </w:r>
      <w:r w:rsidRPr="006D3D1C">
        <w:rPr>
          <w:rFonts w:ascii="Inter" w:eastAsia="Times New Roman" w:hAnsi="Inter" w:cs="Times New Roman"/>
          <w:color w:val="1F2D3D"/>
          <w:kern w:val="0"/>
          <w14:ligatures w14:val="none"/>
        </w:rPr>
        <w:t> Visual variation across subgroups (especially race and LVEF/NT-proBNP physiology) visible in forest plot; interaction P-values should be verified to distinguish signal from noise</w:t>
      </w:r>
    </w:p>
    <w:p w14:paraId="27DC9F1F" w14:textId="77777777" w:rsidR="0049158A" w:rsidRPr="006D3D1C" w:rsidRDefault="0049158A" w:rsidP="0049158A">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Safety event frequencies not quantified:</w:t>
      </w:r>
      <w:r w:rsidRPr="006D3D1C">
        <w:rPr>
          <w:rFonts w:ascii="Inter" w:eastAsia="Times New Roman" w:hAnsi="Inter" w:cs="Times New Roman"/>
          <w:color w:val="1F2D3D"/>
          <w:kern w:val="0"/>
          <w14:ligatures w14:val="none"/>
        </w:rPr>
        <w:t> Specific adverse event counts needed for independent assessment</w:t>
      </w:r>
    </w:p>
    <w:p w14:paraId="55D14120" w14:textId="77777777" w:rsidR="0049158A" w:rsidRPr="006D3D1C" w:rsidRDefault="0049158A" w:rsidP="0049158A">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Generalizability limited:</w:t>
      </w:r>
      <w:r w:rsidRPr="006D3D1C">
        <w:rPr>
          <w:rFonts w:ascii="Inter" w:eastAsia="Times New Roman" w:hAnsi="Inter" w:cs="Times New Roman"/>
          <w:color w:val="1F2D3D"/>
          <w:kern w:val="0"/>
          <w14:ligatures w14:val="none"/>
        </w:rPr>
        <w:t> Trial enriched for reduced LVEF (71–75% with LVEF ≤30%) and elevated NT-proBNP (78–79% with NT-proBNP ≥1000); subgroup finding of no benefit in LVEF &gt;30% (HR 0.99) suggests results may not apply to milder HF</w:t>
      </w:r>
    </w:p>
    <w:p w14:paraId="57BC52CC" w14:textId="77777777" w:rsidR="0049158A" w:rsidRPr="006D3D1C" w:rsidRDefault="0049158A" w:rsidP="0049158A">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Median 16-month follow-up:</w:t>
      </w:r>
      <w:r w:rsidRPr="006D3D1C">
        <w:rPr>
          <w:rFonts w:ascii="Inter" w:eastAsia="Times New Roman" w:hAnsi="Inter" w:cs="Times New Roman"/>
          <w:color w:val="1F2D3D"/>
          <w:kern w:val="0"/>
          <w14:ligatures w14:val="none"/>
        </w:rPr>
        <w:t> Longer follow-up needed to assess durability and late recurrent events</w:t>
      </w:r>
    </w:p>
    <w:p w14:paraId="6EC144B5"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5D397636">
          <v:rect id="Horizontal Line 179"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75C37A"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9. Relevant Knowledge Base Sources</w:t>
      </w:r>
    </w:p>
    <w:p w14:paraId="4BD8CC34" w14:textId="77777777" w:rsidR="0049158A" w:rsidRPr="006D3D1C" w:rsidRDefault="0049158A" w:rsidP="0049158A">
      <w:pPr>
        <w:numPr>
          <w:ilvl w:val="0"/>
          <w:numId w:val="2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Wang et al. 2007 (KB Entry 52): Subgroup analysis requires pre-specification and interaction testing</w:t>
      </w:r>
    </w:p>
    <w:p w14:paraId="571EB929" w14:textId="77777777" w:rsidR="0049158A" w:rsidRPr="006D3D1C" w:rsidRDefault="0049158A" w:rsidP="0049158A">
      <w:pPr>
        <w:numPr>
          <w:ilvl w:val="0"/>
          <w:numId w:val="2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Bailar &amp; Mosteller 1988 (KB Entry 1): Statistical reporting must clearly specify methods, alpha allocation, and decision rules</w:t>
      </w:r>
    </w:p>
    <w:p w14:paraId="50B244AB" w14:textId="77777777" w:rsidR="0049158A" w:rsidRPr="006D3D1C" w:rsidRDefault="0049158A" w:rsidP="0049158A">
      <w:pPr>
        <w:numPr>
          <w:ilvl w:val="0"/>
          <w:numId w:val="2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Gelman &amp; Hill 2007 (KB Entry 55): Regression models require transparent specification of covariates, interactions, and diagnostics</w:t>
      </w:r>
    </w:p>
    <w:p w14:paraId="620127BD" w14:textId="77777777" w:rsidR="0049158A" w:rsidRPr="006D3D1C" w:rsidRDefault="0049158A" w:rsidP="0049158A">
      <w:pPr>
        <w:numPr>
          <w:ilvl w:val="0"/>
          <w:numId w:val="2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Wicherts et al. 2016 (KB Entry 11): Researcher degrees of freedom must be disclosed; pre-specification of primary and secondary outcomes critical</w:t>
      </w:r>
    </w:p>
    <w:p w14:paraId="615E72C5"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394BB149">
          <v:rect id="Horizontal Line 180"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65EC18"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10. Limitation</w:t>
      </w:r>
    </w:p>
    <w:p w14:paraId="041F5094"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This is an AI-assisted whole-paper statistical screen based on text extracted from the uploaded manuscript and is not a substitute for expert statistical review, clinical domain expertise, or verification against the complete protocol, Statistical Analysis Plan, and supplementary materials available at NEJM.org and ClinicalTrials.gov.</w:t>
      </w:r>
    </w:p>
    <w:p w14:paraId="4062FAFB" w14:textId="77777777" w:rsidR="0049158A" w:rsidRDefault="0049158A" w:rsidP="0049158A"/>
    <w:p w14:paraId="30435862" w14:textId="77777777" w:rsidR="0049158A" w:rsidRDefault="0049158A" w:rsidP="0049158A">
      <w:pPr>
        <w:pStyle w:val="ListParagraph"/>
        <w:numPr>
          <w:ilvl w:val="0"/>
          <w:numId w:val="1"/>
        </w:numPr>
      </w:pPr>
      <w:r>
        <w:t>Polatuzumab Vedotin in Previously Untreated Diffuse Large B-Cell Lymphoma</w:t>
      </w:r>
    </w:p>
    <w:p w14:paraId="22A28258" w14:textId="77777777" w:rsidR="0049158A" w:rsidRDefault="0049158A" w:rsidP="0049158A"/>
    <w:p w14:paraId="4F6F1C2C" w14:textId="77777777" w:rsidR="0049158A" w:rsidRPr="006D3D1C" w:rsidRDefault="0049158A" w:rsidP="0049158A">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6D3D1C">
        <w:rPr>
          <w:rFonts w:ascii="Inter" w:eastAsia="Times New Roman" w:hAnsi="Inter" w:cs="Times New Roman"/>
          <w:color w:val="0B3D91"/>
          <w:kern w:val="36"/>
          <w:sz w:val="48"/>
          <w:szCs w:val="48"/>
          <w14:ligatures w14:val="none"/>
        </w:rPr>
        <w:t>Whole-Paper Review Summary</w:t>
      </w:r>
    </w:p>
    <w:p w14:paraId="74989248"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1. Overall Concern Level</w:t>
      </w:r>
    </w:p>
    <w:p w14:paraId="1C30CD3E"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Low-to-Moderate concern</w:t>
      </w:r>
    </w:p>
    <w:p w14:paraId="173E8B62"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The primary endpoint (PFS) is statistically supported and meets pre-specified criteria. However, the lack of overall survival benefit despite PFS improvement, potential subgroup heterogeneity, and differences in specific adverse events warrant cautious interpretation of the broader clinical utility. Secondary outcome reporting and subgroup interaction testing require verification against supplementary materials.</w:t>
      </w:r>
    </w:p>
    <w:p w14:paraId="5575E97F"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21914F53">
          <v:rect id="Horizontal Line 154"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8B7E23"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2. Paper Type and Design</w:t>
      </w:r>
    </w:p>
    <w:p w14:paraId="2D72C5C1"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Phase 3, randomized, double-blind, placebo-controlled, international trial (N = 879) comparing pola-R-CHP (polatuzumab vedotin replacing vincristine) versus standard R-CHOP in previously untreated intermediate-to-high-risk DLBCL (IPI 2–5). Randomized design with stratification (IPI, bulky disease, region) appropriately controls for confounding. Primary outcome: investigator-assessed progression-free survival.</w:t>
      </w:r>
    </w:p>
    <w:p w14:paraId="27194A11"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796029DF">
          <v:rect id="Horizontal Line 155"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3B368F"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3. Big-Picture Statistical Concerns</w:t>
      </w:r>
    </w:p>
    <w:p w14:paraId="4AA8D142" w14:textId="77777777" w:rsidR="0049158A" w:rsidRPr="006D3D1C" w:rsidRDefault="0049158A" w:rsidP="0049158A">
      <w:pPr>
        <w:numPr>
          <w:ilvl w:val="0"/>
          <w:numId w:val="12"/>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PFS benefit without OS benefit — Discordance weakens clinical interpretation</w:t>
      </w:r>
    </w:p>
    <w:p w14:paraId="4970AB7D"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i/>
          <w:iCs/>
          <w:color w:val="1F2D3D"/>
          <w:kern w:val="0"/>
          <w14:ligatures w14:val="none"/>
        </w:rPr>
        <w:t>Label:</w:t>
      </w:r>
      <w:r w:rsidRPr="006D3D1C">
        <w:rPr>
          <w:rFonts w:ascii="Inter" w:eastAsia="Times New Roman" w:hAnsi="Inter" w:cs="Times New Roman"/>
          <w:color w:val="1F2D3D"/>
          <w:kern w:val="0"/>
          <w14:ligatures w14:val="none"/>
        </w:rPr>
        <w:t> </w:t>
      </w:r>
      <w:r w:rsidRPr="006D3D1C">
        <w:rPr>
          <w:rFonts w:ascii="Inter" w:eastAsia="Times New Roman" w:hAnsi="Inter" w:cs="Times New Roman"/>
          <w:b/>
          <w:bCs/>
          <w:color w:val="1F2D3D"/>
          <w:kern w:val="0"/>
          <w14:ligatures w14:val="none"/>
        </w:rPr>
        <w:t>Moderate interpretation concern</w:t>
      </w:r>
    </w:p>
    <w:p w14:paraId="026FC470"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PFS at 2 years: 76.7% (pola-R-CHP) vs. 70.2% (R-CHOP); HR 0.73 (95% CI 0.57–0.95; P = 0.02, one-sided)</w:t>
      </w:r>
    </w:p>
    <w:p w14:paraId="14CFB0FE"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lastRenderedPageBreak/>
        <w:t>OS at 2 years: 88.7% (pola-R-CHP) vs. 88.6% (R-CHOP); HR 0.94 (95% CI 0.65–1.37; P = 0.75)</w:t>
      </w:r>
    </w:p>
    <w:p w14:paraId="7EC5AB82"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The 27% PFS hazard reduction does not translate to OS advantage within 28.2-month median follow-up</w:t>
      </w:r>
    </w:p>
    <w:p w14:paraId="005183A8"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This may reflect: (a) insufficient follow-up maturity, (b) successful salvage therapy offsetting PFS benefit, or (c) limited OS impact of PFS extension</w:t>
      </w:r>
    </w:p>
    <w:p w14:paraId="52346706"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Verification needed:</w:t>
      </w:r>
      <w:r w:rsidRPr="006D3D1C">
        <w:rPr>
          <w:rFonts w:ascii="Inter" w:eastAsia="Times New Roman" w:hAnsi="Inter" w:cs="Times New Roman"/>
          <w:color w:val="1F2D3D"/>
          <w:kern w:val="0"/>
          <w14:ligatures w14:val="none"/>
        </w:rPr>
        <w:t> Confirm actual PFS event counts achieved vs. planned ~228 events; provide post-progression survival analysis if available</w:t>
      </w:r>
    </w:p>
    <w:p w14:paraId="3F61245A" w14:textId="77777777" w:rsidR="0049158A" w:rsidRPr="006D3D1C" w:rsidRDefault="0049158A" w:rsidP="0049158A">
      <w:pPr>
        <w:numPr>
          <w:ilvl w:val="0"/>
          <w:numId w:val="12"/>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Subgroup heterogeneity without formal interaction testing</w:t>
      </w:r>
    </w:p>
    <w:p w14:paraId="0CBC6A63"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i/>
          <w:iCs/>
          <w:color w:val="1F2D3D"/>
          <w:kern w:val="0"/>
          <w14:ligatures w14:val="none"/>
        </w:rPr>
        <w:t>Label:</w:t>
      </w:r>
      <w:r w:rsidRPr="006D3D1C">
        <w:rPr>
          <w:rFonts w:ascii="Inter" w:eastAsia="Times New Roman" w:hAnsi="Inter" w:cs="Times New Roman"/>
          <w:color w:val="1F2D3D"/>
          <w:kern w:val="0"/>
          <w14:ligatures w14:val="none"/>
        </w:rPr>
        <w:t> </w:t>
      </w:r>
      <w:r w:rsidRPr="006D3D1C">
        <w:rPr>
          <w:rFonts w:ascii="Inter" w:eastAsia="Times New Roman" w:hAnsi="Inter" w:cs="Times New Roman"/>
          <w:b/>
          <w:bCs/>
          <w:color w:val="1F2D3D"/>
          <w:kern w:val="0"/>
          <w14:ligatures w14:val="none"/>
        </w:rPr>
        <w:t>Moderate interpretation concern / Not assessable without supplement/protocol</w:t>
      </w:r>
    </w:p>
    <w:p w14:paraId="334A1BB3"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Discussion acknowledges apparent heterogeneity: benefit in older patients (&gt;60 years), high IPI (3–5), ABC-like subtype; no clear benefit in younger (≤60), low IPI, bulky disease, GCB-like</w:t>
      </w:r>
    </w:p>
    <w:p w14:paraId="3D1583A9"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Trial explicitly not powered for subgroup comparisons; no interaction P-values reported in provided text</w:t>
      </w:r>
    </w:p>
    <w:p w14:paraId="7D68B7DE"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Risk of post-hoc bias without formal testing</w:t>
      </w:r>
    </w:p>
    <w:p w14:paraId="3562B8CF"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Verification needed:</w:t>
      </w:r>
      <w:r w:rsidRPr="006D3D1C">
        <w:rPr>
          <w:rFonts w:ascii="Inter" w:eastAsia="Times New Roman" w:hAnsi="Inter" w:cs="Times New Roman"/>
          <w:color w:val="1F2D3D"/>
          <w:kern w:val="0"/>
          <w14:ligatures w14:val="none"/>
        </w:rPr>
        <w:t> Request subgroup-by-treatment interaction P-values and pre-specification of subgroup analyses from statistical analysis plan</w:t>
      </w:r>
    </w:p>
    <w:p w14:paraId="2758AC1A" w14:textId="77777777" w:rsidR="0049158A" w:rsidRPr="006D3D1C" w:rsidRDefault="0049158A" w:rsidP="0049158A">
      <w:pPr>
        <w:numPr>
          <w:ilvl w:val="0"/>
          <w:numId w:val="12"/>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Specific adverse events higher in pola-R-CHP despite “similar safety” characterization</w:t>
      </w:r>
    </w:p>
    <w:p w14:paraId="0FCF1F31"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i/>
          <w:iCs/>
          <w:color w:val="1F2D3D"/>
          <w:kern w:val="0"/>
          <w14:ligatures w14:val="none"/>
        </w:rPr>
        <w:t>Label:</w:t>
      </w:r>
      <w:r w:rsidRPr="006D3D1C">
        <w:rPr>
          <w:rFonts w:ascii="Inter" w:eastAsia="Times New Roman" w:hAnsi="Inter" w:cs="Times New Roman"/>
          <w:color w:val="1F2D3D"/>
          <w:kern w:val="0"/>
          <w14:ligatures w14:val="none"/>
        </w:rPr>
        <w:t> </w:t>
      </w:r>
      <w:r w:rsidRPr="006D3D1C">
        <w:rPr>
          <w:rFonts w:ascii="Inter" w:eastAsia="Times New Roman" w:hAnsi="Inter" w:cs="Times New Roman"/>
          <w:b/>
          <w:bCs/>
          <w:color w:val="1F2D3D"/>
          <w:kern w:val="0"/>
          <w14:ligatures w14:val="none"/>
        </w:rPr>
        <w:t>Moderate interpretation concern</w:t>
      </w:r>
    </w:p>
    <w:p w14:paraId="17EC41B1"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Grade 3+ diarrhea: 3.9% (pola-R-CHP) vs. 1.8% (R-CHOP)</w:t>
      </w:r>
    </w:p>
    <w:p w14:paraId="5DA0E131"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Grade 3+ febrile neutropenia: 13.8% (pola-R-CHP) vs. 8.0% (R-CHOP) — a 73% higher rate</w:t>
      </w:r>
    </w:p>
    <w:p w14:paraId="7FEBEFFC"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Grade 5 fatal events: 3.0% (pola-R-CHP, 13 patients) vs. 2.3% (R-CHOP, 10 patients)</w:t>
      </w:r>
    </w:p>
    <w:p w14:paraId="196298ED"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Characterization of “similar safety” masks differential toxicity burdens; statistical significance of differences not reported</w:t>
      </w:r>
    </w:p>
    <w:p w14:paraId="769171AB"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Verification needed:</w:t>
      </w:r>
      <w:r w:rsidRPr="006D3D1C">
        <w:rPr>
          <w:rFonts w:ascii="Inter" w:eastAsia="Times New Roman" w:hAnsi="Inter" w:cs="Times New Roman"/>
          <w:color w:val="1F2D3D"/>
          <w:kern w:val="0"/>
          <w14:ligatures w14:val="none"/>
        </w:rPr>
        <w:t> Provide P-values (or 95% CIs) for diarrhea and febrile neutropenia comparisons; clarify whether these were pre-specified safety endpoints</w:t>
      </w:r>
    </w:p>
    <w:p w14:paraId="44C2A874" w14:textId="77777777" w:rsidR="0049158A" w:rsidRPr="006D3D1C" w:rsidRDefault="0049158A" w:rsidP="0049158A">
      <w:pPr>
        <w:numPr>
          <w:ilvl w:val="0"/>
          <w:numId w:val="12"/>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Primary outcome borderline: CI and P-value at threshold</w:t>
      </w:r>
    </w:p>
    <w:p w14:paraId="7AC5433A"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i/>
          <w:iCs/>
          <w:color w:val="1F2D3D"/>
          <w:kern w:val="0"/>
          <w14:ligatures w14:val="none"/>
        </w:rPr>
        <w:t>Label:</w:t>
      </w:r>
      <w:r w:rsidRPr="006D3D1C">
        <w:rPr>
          <w:rFonts w:ascii="Inter" w:eastAsia="Times New Roman" w:hAnsi="Inter" w:cs="Times New Roman"/>
          <w:color w:val="1F2D3D"/>
          <w:kern w:val="0"/>
          <w14:ligatures w14:val="none"/>
        </w:rPr>
        <w:t> </w:t>
      </w:r>
      <w:r w:rsidRPr="006D3D1C">
        <w:rPr>
          <w:rFonts w:ascii="Inter" w:eastAsia="Times New Roman" w:hAnsi="Inter" w:cs="Times New Roman"/>
          <w:b/>
          <w:bCs/>
          <w:color w:val="1F2D3D"/>
          <w:kern w:val="0"/>
          <w14:ligatures w14:val="none"/>
        </w:rPr>
        <w:t>Standard reviewer check</w:t>
      </w:r>
    </w:p>
    <w:p w14:paraId="7CB10725"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HR 0.73 (95% CI 0.57–0.95) objectively meets one-sided α = 0.025; however, upper CI bound (0.95) approaches the pre-specified minimum detectable difference (0.77)</w:t>
      </w:r>
    </w:p>
    <w:p w14:paraId="2E6C190B"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Actual number of events relative to planned ~228 is not stated in provided text</w:t>
      </w:r>
    </w:p>
    <w:p w14:paraId="0409858E"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If fewer events occurred, achieved power is lower than 80%</w:t>
      </w:r>
    </w:p>
    <w:p w14:paraId="7C5541CB"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Verification needed:</w:t>
      </w:r>
      <w:r w:rsidRPr="006D3D1C">
        <w:rPr>
          <w:rFonts w:ascii="Inter" w:eastAsia="Times New Roman" w:hAnsi="Inter" w:cs="Times New Roman"/>
          <w:color w:val="1F2D3D"/>
          <w:kern w:val="0"/>
          <w14:ligatures w14:val="none"/>
        </w:rPr>
        <w:t> Report actual PFS event count and post-hoc power calculation</w:t>
      </w:r>
    </w:p>
    <w:p w14:paraId="6DCA0533" w14:textId="77777777" w:rsidR="0049158A" w:rsidRPr="006D3D1C" w:rsidRDefault="0049158A" w:rsidP="0049158A">
      <w:pPr>
        <w:numPr>
          <w:ilvl w:val="0"/>
          <w:numId w:val="12"/>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Missing outcome detail for secondary endpoints</w:t>
      </w:r>
    </w:p>
    <w:p w14:paraId="7A366A7D"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i/>
          <w:iCs/>
          <w:color w:val="1F2D3D"/>
          <w:kern w:val="0"/>
          <w14:ligatures w14:val="none"/>
        </w:rPr>
        <w:t>Label:</w:t>
      </w:r>
      <w:r w:rsidRPr="006D3D1C">
        <w:rPr>
          <w:rFonts w:ascii="Inter" w:eastAsia="Times New Roman" w:hAnsi="Inter" w:cs="Times New Roman"/>
          <w:color w:val="1F2D3D"/>
          <w:kern w:val="0"/>
          <w14:ligatures w14:val="none"/>
        </w:rPr>
        <w:t> </w:t>
      </w:r>
      <w:r w:rsidRPr="006D3D1C">
        <w:rPr>
          <w:rFonts w:ascii="Inter" w:eastAsia="Times New Roman" w:hAnsi="Inter" w:cs="Times New Roman"/>
          <w:b/>
          <w:bCs/>
          <w:color w:val="1F2D3D"/>
          <w:kern w:val="0"/>
          <w14:ligatures w14:val="none"/>
        </w:rPr>
        <w:t>Reporting gap from extracted text</w:t>
      </w:r>
    </w:p>
    <w:p w14:paraId="14A02C15"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Event-free survival claimed as “significantly higher” with pola-R-CHP; no HR, 95% CI, or P-value provided in excerpts</w:t>
      </w:r>
    </w:p>
    <w:p w14:paraId="5FC7E00B"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lastRenderedPageBreak/>
        <w:t>Complete response rate stated as no significant difference; effect size/absolute rates not shown</w:t>
      </w:r>
    </w:p>
    <w:p w14:paraId="11EAEB9A" w14:textId="77777777" w:rsidR="0049158A" w:rsidRPr="006D3D1C" w:rsidRDefault="0049158A" w:rsidP="0049158A">
      <w:pPr>
        <w:numPr>
          <w:ilvl w:val="1"/>
          <w:numId w:val="1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Verification needed:</w:t>
      </w:r>
      <w:r w:rsidRPr="006D3D1C">
        <w:rPr>
          <w:rFonts w:ascii="Inter" w:eastAsia="Times New Roman" w:hAnsi="Inter" w:cs="Times New Roman"/>
          <w:color w:val="1F2D3D"/>
          <w:kern w:val="0"/>
          <w14:ligatures w14:val="none"/>
        </w:rPr>
        <w:t> Provide full results for all secondary outcomes with point estimates and 95% CIs</w:t>
      </w:r>
    </w:p>
    <w:p w14:paraId="7C5D321B"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6EDC5C9C">
          <v:rect id="Horizontal Line 156"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583ABC"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4. Internal Consistency Checks</w:t>
      </w:r>
    </w:p>
    <w:p w14:paraId="39D1FA9D" w14:textId="77777777" w:rsidR="0049158A" w:rsidRPr="006D3D1C" w:rsidRDefault="0049158A" w:rsidP="0049158A">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Table 1 baseline balance:</w:t>
      </w:r>
      <w:r w:rsidRPr="006D3D1C">
        <w:rPr>
          <w:rFonts w:ascii="Inter" w:eastAsia="Times New Roman" w:hAnsi="Inter" w:cs="Times New Roman"/>
          <w:color w:val="1F2D3D"/>
          <w:kern w:val="0"/>
          <w14:ligatures w14:val="none"/>
        </w:rPr>
        <w:t> Verify stratification factors (IPI, bulky disease, region) are balanced; reported as balanced but denominators should be confirmed (440 vs. 439 patients)</w:t>
      </w:r>
    </w:p>
    <w:p w14:paraId="47883B57" w14:textId="77777777" w:rsidR="0049158A" w:rsidRPr="006D3D1C" w:rsidRDefault="0049158A" w:rsidP="0049158A">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Sample size &amp; events:</w:t>
      </w:r>
      <w:r w:rsidRPr="006D3D1C">
        <w:rPr>
          <w:rFonts w:ascii="Inter" w:eastAsia="Times New Roman" w:hAnsi="Inter" w:cs="Times New Roman"/>
          <w:color w:val="1F2D3D"/>
          <w:kern w:val="0"/>
          <w14:ligatures w14:val="none"/>
        </w:rPr>
        <w:t> Confirm 879 randomized; 440 vs. 439 assigned; verify actual PFS event count versus planned ~228 events for power validation</w:t>
      </w:r>
    </w:p>
    <w:p w14:paraId="50595E6F" w14:textId="77777777" w:rsidR="0049158A" w:rsidRPr="006D3D1C" w:rsidRDefault="0049158A" w:rsidP="0049158A">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Primary analysis population:</w:t>
      </w:r>
      <w:r w:rsidRPr="006D3D1C">
        <w:rPr>
          <w:rFonts w:ascii="Inter" w:eastAsia="Times New Roman" w:hAnsi="Inter" w:cs="Times New Roman"/>
          <w:color w:val="1F2D3D"/>
          <w:kern w:val="0"/>
          <w14:ligatures w14:val="none"/>
        </w:rPr>
        <w:t> Clarify intent-to-treat versus per-protocol; 4 patients (pola-R-CHP) and 2 (R-CHOP) received no trial drug—confirm inclusion/exclusion in primary analysis</w:t>
      </w:r>
    </w:p>
    <w:p w14:paraId="0F889C66" w14:textId="77777777" w:rsidR="0049158A" w:rsidRPr="006D3D1C" w:rsidRDefault="0049158A" w:rsidP="0049158A">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Table 3 denominators:</w:t>
      </w:r>
      <w:r w:rsidRPr="006D3D1C">
        <w:rPr>
          <w:rFonts w:ascii="Inter" w:eastAsia="Times New Roman" w:hAnsi="Inter" w:cs="Times New Roman"/>
          <w:color w:val="1F2D3D"/>
          <w:kern w:val="0"/>
          <w14:ligatures w14:val="none"/>
        </w:rPr>
        <w:t> Safety population (N = 435, 438) differs from randomized population (N = 440, 439); clarify excluded patients and reason</w:t>
      </w:r>
    </w:p>
    <w:p w14:paraId="06E4A0E4" w14:textId="77777777" w:rsidR="0049158A" w:rsidRPr="006D3D1C" w:rsidRDefault="0049158A" w:rsidP="0049158A">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Kaplan–Meier consistency:</w:t>
      </w:r>
      <w:r w:rsidRPr="006D3D1C">
        <w:rPr>
          <w:rFonts w:ascii="Inter" w:eastAsia="Times New Roman" w:hAnsi="Inter" w:cs="Times New Roman"/>
          <w:color w:val="1F2D3D"/>
          <w:kern w:val="0"/>
          <w14:ligatures w14:val="none"/>
        </w:rPr>
        <w:t> Verify reported 2-year survival percentages (76.7%, 70.2% for PFS; 88.7%, 88.6% for OS) match KM curves if provided</w:t>
      </w:r>
    </w:p>
    <w:p w14:paraId="0BFD0846" w14:textId="77777777" w:rsidR="0049158A" w:rsidRPr="006D3D1C" w:rsidRDefault="0049158A" w:rsidP="0049158A">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Adverse event significance:</w:t>
      </w:r>
      <w:r w:rsidRPr="006D3D1C">
        <w:rPr>
          <w:rFonts w:ascii="Inter" w:eastAsia="Times New Roman" w:hAnsi="Inter" w:cs="Times New Roman"/>
          <w:color w:val="1F2D3D"/>
          <w:kern w:val="0"/>
          <w14:ligatures w14:val="none"/>
        </w:rPr>
        <w:t> Test whether diarrhea (3.9% vs. 1.8%) and febrile neutropenia (13.8% vs. 8.0%) differences are statistically significant</w:t>
      </w:r>
    </w:p>
    <w:p w14:paraId="053316D0"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1757324E">
          <v:rect id="Horizontal Line 157"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FED194"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5. Reporting and Transparency Concerns</w:t>
      </w:r>
    </w:p>
    <w:p w14:paraId="31BACE18" w14:textId="77777777" w:rsidR="0049158A" w:rsidRPr="006D3D1C" w:rsidRDefault="0049158A" w:rsidP="0049158A">
      <w:pPr>
        <w:numPr>
          <w:ilvl w:val="0"/>
          <w:numId w:val="1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Intent-to-treat vs. per-protocol:</w:t>
      </w:r>
      <w:r w:rsidRPr="006D3D1C">
        <w:rPr>
          <w:rFonts w:ascii="Inter" w:eastAsia="Times New Roman" w:hAnsi="Inter" w:cs="Times New Roman"/>
          <w:color w:val="1F2D3D"/>
          <w:kern w:val="0"/>
          <w14:ligatures w14:val="none"/>
        </w:rPr>
        <w:t> Not explicitly stated in provided text; should be clarified in Methods</w:t>
      </w:r>
    </w:p>
    <w:p w14:paraId="66813274" w14:textId="77777777" w:rsidR="0049158A" w:rsidRPr="006D3D1C" w:rsidRDefault="0049158A" w:rsidP="0049158A">
      <w:pPr>
        <w:numPr>
          <w:ilvl w:val="0"/>
          <w:numId w:val="1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Subgroup specifications and interaction testing:</w:t>
      </w:r>
      <w:r w:rsidRPr="006D3D1C">
        <w:rPr>
          <w:rFonts w:ascii="Inter" w:eastAsia="Times New Roman" w:hAnsi="Inter" w:cs="Times New Roman"/>
          <w:color w:val="1F2D3D"/>
          <w:kern w:val="0"/>
          <w14:ligatures w14:val="none"/>
        </w:rPr>
        <w:t> No interaction P-values shown; unclear whether pre-specified; should be verified in statistical analysis plan or supplement</w:t>
      </w:r>
    </w:p>
    <w:p w14:paraId="05796DC7" w14:textId="77777777" w:rsidR="0049158A" w:rsidRPr="006D3D1C" w:rsidRDefault="0049158A" w:rsidP="0049158A">
      <w:pPr>
        <w:numPr>
          <w:ilvl w:val="0"/>
          <w:numId w:val="1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Secondary outcome effect estimates:</w:t>
      </w:r>
      <w:r w:rsidRPr="006D3D1C">
        <w:rPr>
          <w:rFonts w:ascii="Inter" w:eastAsia="Times New Roman" w:hAnsi="Inter" w:cs="Times New Roman"/>
          <w:color w:val="1F2D3D"/>
          <w:kern w:val="0"/>
          <w14:ligatures w14:val="none"/>
        </w:rPr>
        <w:t> Event-free survival and complete response lack full reporting (P-values, CIs) in provided text; likely in supplementary tables</w:t>
      </w:r>
    </w:p>
    <w:p w14:paraId="1E751268" w14:textId="77777777" w:rsidR="0049158A" w:rsidRPr="006D3D1C" w:rsidRDefault="0049158A" w:rsidP="0049158A">
      <w:pPr>
        <w:numPr>
          <w:ilvl w:val="0"/>
          <w:numId w:val="1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Adverse event statistical testing:</w:t>
      </w:r>
      <w:r w:rsidRPr="006D3D1C">
        <w:rPr>
          <w:rFonts w:ascii="Inter" w:eastAsia="Times New Roman" w:hAnsi="Inter" w:cs="Times New Roman"/>
          <w:color w:val="1F2D3D"/>
          <w:kern w:val="0"/>
          <w14:ligatures w14:val="none"/>
        </w:rPr>
        <w:t> Specific toxicity comparisons (diarrhea, febrile neutropenia, grade 5 events) lack P-values or 95% CIs</w:t>
      </w:r>
    </w:p>
    <w:p w14:paraId="0C4FF295" w14:textId="77777777" w:rsidR="0049158A" w:rsidRPr="006D3D1C" w:rsidRDefault="0049158A" w:rsidP="0049158A">
      <w:pPr>
        <w:numPr>
          <w:ilvl w:val="0"/>
          <w:numId w:val="1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Proportional hazards assumption:</w:t>
      </w:r>
      <w:r w:rsidRPr="006D3D1C">
        <w:rPr>
          <w:rFonts w:ascii="Inter" w:eastAsia="Times New Roman" w:hAnsi="Inter" w:cs="Times New Roman"/>
          <w:color w:val="1F2D3D"/>
          <w:kern w:val="0"/>
          <w14:ligatures w14:val="none"/>
        </w:rPr>
        <w:t> No mention of testing or validation; should be addressed in Methods or sensitivity analyses</w:t>
      </w:r>
    </w:p>
    <w:p w14:paraId="7219E696" w14:textId="77777777" w:rsidR="0049158A" w:rsidRPr="006D3D1C" w:rsidRDefault="0049158A" w:rsidP="0049158A">
      <w:pPr>
        <w:numPr>
          <w:ilvl w:val="0"/>
          <w:numId w:val="1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Multiplicity adjustment for secondary outcomes:</w:t>
      </w:r>
      <w:r w:rsidRPr="006D3D1C">
        <w:rPr>
          <w:rFonts w:ascii="Inter" w:eastAsia="Times New Roman" w:hAnsi="Inter" w:cs="Times New Roman"/>
          <w:color w:val="1F2D3D"/>
          <w:kern w:val="0"/>
          <w14:ligatures w14:val="none"/>
        </w:rPr>
        <w:t> Approach to controlling Type I error across multiple secondary endpoints (OS, EFS, response, safety) not stated</w:t>
      </w:r>
    </w:p>
    <w:p w14:paraId="66B00BFD"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3A74CD89">
          <v:rect id="Horizontal Line 158"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C8E0B9"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6. Claims Needing More Cautious Wording</w:t>
      </w:r>
    </w:p>
    <w:p w14:paraId="5761DDB1" w14:textId="77777777" w:rsidR="0049158A" w:rsidRPr="006D3D1C" w:rsidRDefault="0049158A" w:rsidP="0049158A">
      <w:pPr>
        <w:numPr>
          <w:ilvl w:val="0"/>
          <w:numId w:val="15"/>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lastRenderedPageBreak/>
        <w:t>“Safety profile was similar in the two groups”</w:t>
      </w:r>
      <w:r w:rsidRPr="006D3D1C">
        <w:rPr>
          <w:rFonts w:ascii="Inter" w:eastAsia="Times New Roman" w:hAnsi="Inter" w:cs="Times New Roman"/>
          <w:color w:val="1F2D3D"/>
          <w:kern w:val="0"/>
          <w14:ligatures w14:val="none"/>
        </w:rPr>
        <w:t> → Should specify: “Overall any-grade and grade 3+ adverse event rates were similar, but pola-R-CHP showed higher incidence of grade 3+ diarrhea and febrile neutropenia (P values and clinical significance of these differences require reporting).”</w:t>
      </w:r>
    </w:p>
    <w:p w14:paraId="6082A9E3" w14:textId="77777777" w:rsidR="0049158A" w:rsidRPr="006D3D1C" w:rsidRDefault="0049158A" w:rsidP="0049158A">
      <w:pPr>
        <w:numPr>
          <w:ilvl w:val="0"/>
          <w:numId w:val="15"/>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“Remissions appeared to be more durable with pola-R-CHP”</w:t>
      </w:r>
      <w:r w:rsidRPr="006D3D1C">
        <w:rPr>
          <w:rFonts w:ascii="Inter" w:eastAsia="Times New Roman" w:hAnsi="Inter" w:cs="Times New Roman"/>
          <w:color w:val="1F2D3D"/>
          <w:kern w:val="0"/>
          <w14:ligatures w14:val="none"/>
        </w:rPr>
        <w:t> → Requires quantitative support: Report median duration of complete remission, time-to-relapse in responders, or event-free survival effect estimate with 95% CI.</w:t>
      </w:r>
    </w:p>
    <w:p w14:paraId="0FBC5A76" w14:textId="77777777" w:rsidR="0049158A" w:rsidRPr="006D3D1C" w:rsidRDefault="0049158A" w:rsidP="0049158A">
      <w:pPr>
        <w:numPr>
          <w:ilvl w:val="0"/>
          <w:numId w:val="15"/>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Subgroup benefit claims (older age, high IPI, ABC-like)</w:t>
      </w:r>
      <w:r w:rsidRPr="006D3D1C">
        <w:rPr>
          <w:rFonts w:ascii="Inter" w:eastAsia="Times New Roman" w:hAnsi="Inter" w:cs="Times New Roman"/>
          <w:color w:val="1F2D3D"/>
          <w:kern w:val="0"/>
          <w14:ligatures w14:val="none"/>
        </w:rPr>
        <w:t> → Should emphasize: “These exploratory subgroup analyses were not pre-specified for interaction testing and were not powered for this comparison; findings require confirmation in future studies.”</w:t>
      </w:r>
    </w:p>
    <w:p w14:paraId="47E7110C" w14:textId="77777777" w:rsidR="0049158A" w:rsidRPr="006D3D1C" w:rsidRDefault="0049158A" w:rsidP="0049158A">
      <w:pPr>
        <w:numPr>
          <w:ilvl w:val="0"/>
          <w:numId w:val="15"/>
        </w:num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PFS improvement as evidence of clinical benefit</w:t>
      </w:r>
      <w:r w:rsidRPr="006D3D1C">
        <w:rPr>
          <w:rFonts w:ascii="Inter" w:eastAsia="Times New Roman" w:hAnsi="Inter" w:cs="Times New Roman"/>
          <w:color w:val="1F2D3D"/>
          <w:kern w:val="0"/>
          <w14:ligatures w14:val="none"/>
        </w:rPr>
        <w:t> → Should acknowledge: “The progression-free survival improvement at 2 years was not accompanied by an overall survival benefit within the median 28.2-month follow-up, raising questions about the durability and clinical significance of PFS extension.”</w:t>
      </w:r>
    </w:p>
    <w:p w14:paraId="0685CB56"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0069ABBE">
          <v:rect id="Horizontal Line 15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D64AC7"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7. Suggested Reviewer Comment</w:t>
      </w:r>
    </w:p>
    <w:p w14:paraId="18FF9866"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“This Phase 3 RCT demonstrates a statistically significant improvement in progression-free survival with pola-R-CHP versus R-CHOP (HR 0.73, 95% CI 0.57–0.95; P = 0.02). However, several findings warrant cautious interpretation. First, overall survival at 2 years was virtually identical (88.7% vs. 88.6%, HR 0.94), raising questions about whether the PFS improvement translates to durable clinical benefit or is offset by salvage therapy. The 28.2-month median follow-up may be insufficient for OS maturity; longer follow-up and post-progression survival analysis would clarify this discordance.</w:t>
      </w:r>
    </w:p>
    <w:p w14:paraId="20864E4F"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Second, the Discussion acknowledges heterogeneous treatment effects across subgroups (greater benefit in older patients, high-IPI, ABC-like; limited benefit in younger, low-IPI, bulky-disease, GCB-like patients), but no formal subgroup-by-treatment interaction P-values are provided in the main text. These analyses were explicitly not powered for subgroup comparisons; authors appropriately flag them as requiring future assessment, but readers should view as exploratory rather than confirmatory.</w:t>
      </w:r>
    </w:p>
    <w:p w14:paraId="5B76EA97"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Third, while the authors characterize the safety profile as ‘similar,’ pola-R-CHP shows higher incidence of grade 3+ diarrhea (3.9% vs. 1.8%) and febrile neutropenia (13.8% vs. 8.0%). Statistical significance of these differences and causes of the slightly elevated grade 5 events (13 vs. 10) should be reported. The manuscript should clarify whether actual PFS event counts met the planned ~228 events and confirm intent-to-treat analysis principle.”</w:t>
      </w:r>
    </w:p>
    <w:p w14:paraId="7C127E0A"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65080055">
          <v:rect id="Horizontal Line 160"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7A4801"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8. Overall Assessment for Users</w:t>
      </w:r>
    </w:p>
    <w:p w14:paraId="2A2950AA"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lastRenderedPageBreak/>
        <w:t>Supported conclusion:</w:t>
      </w:r>
      <w:r w:rsidRPr="006D3D1C">
        <w:rPr>
          <w:rFonts w:ascii="Inter" w:eastAsia="Times New Roman" w:hAnsi="Inter" w:cs="Times New Roman"/>
          <w:color w:val="1F2D3D"/>
          <w:kern w:val="0"/>
          <w14:ligatures w14:val="none"/>
        </w:rPr>
        <w:br/>
        <w:t>Pola-R-CHP reduces PFS hazard by 27% compared with R-CHOP in previously untreated intermediate-to-high-risk DLBCL (HR 0.73, P = 0.02, meeting pre-specified criteria).</w:t>
      </w:r>
    </w:p>
    <w:p w14:paraId="0E085ECE"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b/>
          <w:bCs/>
          <w:color w:val="1F2D3D"/>
          <w:kern w:val="0"/>
          <w14:ligatures w14:val="none"/>
        </w:rPr>
        <w:t>Findings requiring cautious interpretation:</w:t>
      </w:r>
    </w:p>
    <w:p w14:paraId="7229BE87" w14:textId="77777777" w:rsidR="0049158A" w:rsidRPr="006D3D1C" w:rsidRDefault="0049158A" w:rsidP="0049158A">
      <w:pPr>
        <w:numPr>
          <w:ilvl w:val="0"/>
          <w:numId w:val="1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No overall survival benefit at 2 years; longer follow-up and post-progression survival analysis needed to establish whether PFS improvement confers durable OS advantage</w:t>
      </w:r>
    </w:p>
    <w:p w14:paraId="467F3C00" w14:textId="77777777" w:rsidR="0049158A" w:rsidRPr="006D3D1C" w:rsidRDefault="0049158A" w:rsidP="0049158A">
      <w:pPr>
        <w:numPr>
          <w:ilvl w:val="0"/>
          <w:numId w:val="1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Subgroup heterogeneity is exploratory and not formally tested; apparent benefit limited to older, high-IPI, ABC-like patients requires confirmation</w:t>
      </w:r>
    </w:p>
    <w:p w14:paraId="1A2DA8B0" w14:textId="77777777" w:rsidR="0049158A" w:rsidRPr="006D3D1C" w:rsidRDefault="0049158A" w:rsidP="0049158A">
      <w:pPr>
        <w:numPr>
          <w:ilvl w:val="0"/>
          <w:numId w:val="1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Specific adverse events (diarrhea, febrile neutropenia) higher in pola-R-CHP; clinical significance of these differences requires statistical testing</w:t>
      </w:r>
    </w:p>
    <w:p w14:paraId="64AD35DC" w14:textId="77777777" w:rsidR="0049158A" w:rsidRPr="006D3D1C" w:rsidRDefault="0049158A" w:rsidP="0049158A">
      <w:pPr>
        <w:numPr>
          <w:ilvl w:val="0"/>
          <w:numId w:val="1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Generalizability limited to IPI 2–5 patients; low-risk DLBCL excluded</w:t>
      </w:r>
    </w:p>
    <w:p w14:paraId="63F83587"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11AF120C">
          <v:rect id="Horizontal Line 16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2A5881"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9. Relevant Knowledge Base Sources</w:t>
      </w:r>
    </w:p>
    <w:p w14:paraId="27922C40" w14:textId="77777777" w:rsidR="0049158A" w:rsidRPr="006D3D1C" w:rsidRDefault="0049158A" w:rsidP="0049158A">
      <w:pPr>
        <w:numPr>
          <w:ilvl w:val="0"/>
          <w:numId w:val="1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Wang et al. 2007 (KB Entry 52): Subgroup analysis requires pre-specification and interaction testing</w:t>
      </w:r>
    </w:p>
    <w:p w14:paraId="2DB84F7E" w14:textId="77777777" w:rsidR="0049158A" w:rsidRPr="006D3D1C" w:rsidRDefault="0049158A" w:rsidP="0049158A">
      <w:pPr>
        <w:numPr>
          <w:ilvl w:val="0"/>
          <w:numId w:val="1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Hernán 2010 (KB Entry 40): Hazard ratios require absolute risks and follow-up context for proper interpretation</w:t>
      </w:r>
    </w:p>
    <w:p w14:paraId="12CE701D" w14:textId="77777777" w:rsidR="0049158A" w:rsidRPr="006D3D1C" w:rsidRDefault="0049158A" w:rsidP="0049158A">
      <w:pPr>
        <w:numPr>
          <w:ilvl w:val="0"/>
          <w:numId w:val="1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McShane et al. 2019 (KB Entry 9): P-values and effect size must be interpreted together; significance is not a binary decision</w:t>
      </w:r>
    </w:p>
    <w:p w14:paraId="14AFCC20" w14:textId="77777777" w:rsidR="0049158A" w:rsidRPr="006D3D1C" w:rsidRDefault="0049158A" w:rsidP="0049158A">
      <w:pPr>
        <w:numPr>
          <w:ilvl w:val="0"/>
          <w:numId w:val="1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Sterne et al. 2009 (KB Entry 65): Missing data mechanisms and assumptions must be transparent</w:t>
      </w:r>
    </w:p>
    <w:p w14:paraId="373694F5" w14:textId="77777777" w:rsidR="0049158A" w:rsidRPr="006D3D1C" w:rsidRDefault="0049158A" w:rsidP="0049158A">
      <w:pPr>
        <w:numPr>
          <w:ilvl w:val="0"/>
          <w:numId w:val="1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Gelman et al. 2002 (KB Entry 5): Visual presentation of subgroup effects improves interpretation</w:t>
      </w:r>
    </w:p>
    <w:p w14:paraId="43FD50B9" w14:textId="77777777" w:rsidR="0049158A" w:rsidRPr="006D3D1C" w:rsidRDefault="00C3456C" w:rsidP="0049158A">
      <w:pPr>
        <w:spacing w:after="0" w:line="240" w:lineRule="auto"/>
        <w:rPr>
          <w:rFonts w:ascii="Inter" w:eastAsia="Times New Roman" w:hAnsi="Inter" w:cs="Times New Roman"/>
          <w:kern w:val="0"/>
          <w14:ligatures w14:val="none"/>
        </w:rPr>
      </w:pPr>
      <w:r>
        <w:rPr>
          <w:noProof/>
        </w:rPr>
      </w:r>
      <w:r>
        <w:pict w14:anchorId="41D4061E">
          <v:rect id="Horizontal Line 16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0E9B40" w14:textId="77777777" w:rsidR="0049158A" w:rsidRPr="006D3D1C" w:rsidRDefault="0049158A" w:rsidP="0049158A">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D3D1C">
        <w:rPr>
          <w:rFonts w:ascii="Inter" w:eastAsia="Times New Roman" w:hAnsi="Inter" w:cs="Times New Roman"/>
          <w:color w:val="0B3D91"/>
          <w:kern w:val="0"/>
          <w:sz w:val="36"/>
          <w:szCs w:val="36"/>
          <w14:ligatures w14:val="none"/>
        </w:rPr>
        <w:t>10. Limitation</w:t>
      </w:r>
    </w:p>
    <w:p w14:paraId="1366E27C" w14:textId="77777777" w:rsidR="0049158A" w:rsidRPr="006D3D1C" w:rsidRDefault="0049158A" w:rsidP="0049158A">
      <w:pPr>
        <w:shd w:val="clear" w:color="auto" w:fill="FFFFFF"/>
        <w:spacing w:after="100" w:afterAutospacing="1" w:line="240" w:lineRule="auto"/>
        <w:rPr>
          <w:rFonts w:ascii="Inter" w:eastAsia="Times New Roman" w:hAnsi="Inter" w:cs="Times New Roman"/>
          <w:color w:val="1F2D3D"/>
          <w:kern w:val="0"/>
          <w14:ligatures w14:val="none"/>
        </w:rPr>
      </w:pPr>
      <w:r w:rsidRPr="006D3D1C">
        <w:rPr>
          <w:rFonts w:ascii="Inter" w:eastAsia="Times New Roman" w:hAnsi="Inter" w:cs="Times New Roman"/>
          <w:color w:val="1F2D3D"/>
          <w:kern w:val="0"/>
          <w14:ligatures w14:val="none"/>
        </w:rPr>
        <w:t>This is an AI-assisted whole-paper statistical screen based on text extracted from the uploaded manuscript. It is not a substitute for expert statistical review, clinical domain expertise, or verification against the complete protocol, statistical analysis plan, and supplementary materials. Full assessment requires access to the study protocol, formal subgroup interaction tests, and complete adverse event data available at NEJM.org or ClinicalTrials.gov.</w:t>
      </w:r>
    </w:p>
    <w:p w14:paraId="6D0B68AA" w14:textId="77777777" w:rsidR="0049158A" w:rsidRDefault="0049158A" w:rsidP="0049158A"/>
    <w:p w14:paraId="3F22537E" w14:textId="77777777" w:rsidR="00E82D73" w:rsidRDefault="00E82D73">
      <w:pPr>
        <w:rPr>
          <w:rFonts w:hint="eastAsia"/>
        </w:rPr>
      </w:pPr>
    </w:p>
    <w:sectPr w:rsidR="00E82D73" w:rsidSect="004915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te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4223"/>
    <w:multiLevelType w:val="multilevel"/>
    <w:tmpl w:val="F47CB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B2D03"/>
    <w:multiLevelType w:val="multilevel"/>
    <w:tmpl w:val="0ED43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7467C"/>
    <w:multiLevelType w:val="multilevel"/>
    <w:tmpl w:val="A56A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165BB"/>
    <w:multiLevelType w:val="multilevel"/>
    <w:tmpl w:val="FA48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74644"/>
    <w:multiLevelType w:val="multilevel"/>
    <w:tmpl w:val="BBFE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B731E"/>
    <w:multiLevelType w:val="multilevel"/>
    <w:tmpl w:val="2488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94A59"/>
    <w:multiLevelType w:val="multilevel"/>
    <w:tmpl w:val="D61A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E3741"/>
    <w:multiLevelType w:val="multilevel"/>
    <w:tmpl w:val="FDDE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C4D8A"/>
    <w:multiLevelType w:val="multilevel"/>
    <w:tmpl w:val="E218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0604D4"/>
    <w:multiLevelType w:val="multilevel"/>
    <w:tmpl w:val="AF4C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62627"/>
    <w:multiLevelType w:val="multilevel"/>
    <w:tmpl w:val="99E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D31FF"/>
    <w:multiLevelType w:val="multilevel"/>
    <w:tmpl w:val="6AB6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4128D"/>
    <w:multiLevelType w:val="multilevel"/>
    <w:tmpl w:val="A72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C1CDA"/>
    <w:multiLevelType w:val="multilevel"/>
    <w:tmpl w:val="40D4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A1476"/>
    <w:multiLevelType w:val="hybridMultilevel"/>
    <w:tmpl w:val="0E3EA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941CA0"/>
    <w:multiLevelType w:val="multilevel"/>
    <w:tmpl w:val="CA8C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DF643C"/>
    <w:multiLevelType w:val="multilevel"/>
    <w:tmpl w:val="16D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D64A0"/>
    <w:multiLevelType w:val="multilevel"/>
    <w:tmpl w:val="52061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054E60"/>
    <w:multiLevelType w:val="multilevel"/>
    <w:tmpl w:val="072A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480247"/>
    <w:multiLevelType w:val="multilevel"/>
    <w:tmpl w:val="0EE4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577663"/>
    <w:multiLevelType w:val="multilevel"/>
    <w:tmpl w:val="2C34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A3219"/>
    <w:multiLevelType w:val="multilevel"/>
    <w:tmpl w:val="6840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B49B5"/>
    <w:multiLevelType w:val="multilevel"/>
    <w:tmpl w:val="C638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188155">
    <w:abstractNumId w:val="14"/>
  </w:num>
  <w:num w:numId="2" w16cid:durableId="25639039">
    <w:abstractNumId w:val="9"/>
  </w:num>
  <w:num w:numId="3" w16cid:durableId="1017001386">
    <w:abstractNumId w:val="4"/>
  </w:num>
  <w:num w:numId="4" w16cid:durableId="1528331521">
    <w:abstractNumId w:val="18"/>
  </w:num>
  <w:num w:numId="5" w16cid:durableId="1881548531">
    <w:abstractNumId w:val="13"/>
  </w:num>
  <w:num w:numId="6" w16cid:durableId="848443829">
    <w:abstractNumId w:val="1"/>
  </w:num>
  <w:num w:numId="7" w16cid:durableId="550113206">
    <w:abstractNumId w:val="5"/>
  </w:num>
  <w:num w:numId="8" w16cid:durableId="1456563366">
    <w:abstractNumId w:val="16"/>
  </w:num>
  <w:num w:numId="9" w16cid:durableId="208878995">
    <w:abstractNumId w:val="15"/>
  </w:num>
  <w:num w:numId="10" w16cid:durableId="1337659770">
    <w:abstractNumId w:val="20"/>
  </w:num>
  <w:num w:numId="11" w16cid:durableId="559511902">
    <w:abstractNumId w:val="7"/>
  </w:num>
  <w:num w:numId="12" w16cid:durableId="840118948">
    <w:abstractNumId w:val="17"/>
  </w:num>
  <w:num w:numId="13" w16cid:durableId="1670330114">
    <w:abstractNumId w:val="2"/>
  </w:num>
  <w:num w:numId="14" w16cid:durableId="722873466">
    <w:abstractNumId w:val="19"/>
  </w:num>
  <w:num w:numId="15" w16cid:durableId="1915316526">
    <w:abstractNumId w:val="22"/>
  </w:num>
  <w:num w:numId="16" w16cid:durableId="1863010510">
    <w:abstractNumId w:val="11"/>
  </w:num>
  <w:num w:numId="17" w16cid:durableId="1719283729">
    <w:abstractNumId w:val="10"/>
  </w:num>
  <w:num w:numId="18" w16cid:durableId="398134231">
    <w:abstractNumId w:val="0"/>
  </w:num>
  <w:num w:numId="19" w16cid:durableId="981692512">
    <w:abstractNumId w:val="21"/>
  </w:num>
  <w:num w:numId="20" w16cid:durableId="12845976">
    <w:abstractNumId w:val="12"/>
  </w:num>
  <w:num w:numId="21" w16cid:durableId="553272668">
    <w:abstractNumId w:val="8"/>
  </w:num>
  <w:num w:numId="22" w16cid:durableId="634876191">
    <w:abstractNumId w:val="6"/>
  </w:num>
  <w:num w:numId="23" w16cid:durableId="1707027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58A"/>
    <w:rsid w:val="0049158A"/>
    <w:rsid w:val="0057778E"/>
    <w:rsid w:val="00C3456C"/>
    <w:rsid w:val="00D33AE2"/>
    <w:rsid w:val="00E82D73"/>
    <w:rsid w:val="00FC3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4:docId w14:val="44C1EEA9"/>
  <w15:chartTrackingRefBased/>
  <w15:docId w15:val="{39CD6018-5173-524B-9322-F847E1C99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58A"/>
  </w:style>
  <w:style w:type="paragraph" w:styleId="Heading1">
    <w:name w:val="heading 1"/>
    <w:basedOn w:val="Normal"/>
    <w:next w:val="Normal"/>
    <w:link w:val="Heading1Char"/>
    <w:uiPriority w:val="9"/>
    <w:qFormat/>
    <w:rsid w:val="00491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58A"/>
    <w:rPr>
      <w:rFonts w:eastAsiaTheme="majorEastAsia" w:cstheme="majorBidi"/>
      <w:color w:val="272727" w:themeColor="text1" w:themeTint="D8"/>
    </w:rPr>
  </w:style>
  <w:style w:type="paragraph" w:styleId="Title">
    <w:name w:val="Title"/>
    <w:basedOn w:val="Normal"/>
    <w:next w:val="Normal"/>
    <w:link w:val="TitleChar"/>
    <w:uiPriority w:val="10"/>
    <w:qFormat/>
    <w:rsid w:val="00491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58A"/>
    <w:pPr>
      <w:spacing w:before="160"/>
      <w:jc w:val="center"/>
    </w:pPr>
    <w:rPr>
      <w:i/>
      <w:iCs/>
      <w:color w:val="404040" w:themeColor="text1" w:themeTint="BF"/>
    </w:rPr>
  </w:style>
  <w:style w:type="character" w:customStyle="1" w:styleId="QuoteChar">
    <w:name w:val="Quote Char"/>
    <w:basedOn w:val="DefaultParagraphFont"/>
    <w:link w:val="Quote"/>
    <w:uiPriority w:val="29"/>
    <w:rsid w:val="0049158A"/>
    <w:rPr>
      <w:i/>
      <w:iCs/>
      <w:color w:val="404040" w:themeColor="text1" w:themeTint="BF"/>
    </w:rPr>
  </w:style>
  <w:style w:type="paragraph" w:styleId="ListParagraph">
    <w:name w:val="List Paragraph"/>
    <w:basedOn w:val="Normal"/>
    <w:uiPriority w:val="34"/>
    <w:qFormat/>
    <w:rsid w:val="0049158A"/>
    <w:pPr>
      <w:ind w:left="720"/>
      <w:contextualSpacing/>
    </w:pPr>
  </w:style>
  <w:style w:type="character" w:styleId="IntenseEmphasis">
    <w:name w:val="Intense Emphasis"/>
    <w:basedOn w:val="DefaultParagraphFont"/>
    <w:uiPriority w:val="21"/>
    <w:qFormat/>
    <w:rsid w:val="0049158A"/>
    <w:rPr>
      <w:i/>
      <w:iCs/>
      <w:color w:val="0F4761" w:themeColor="accent1" w:themeShade="BF"/>
    </w:rPr>
  </w:style>
  <w:style w:type="paragraph" w:styleId="IntenseQuote">
    <w:name w:val="Intense Quote"/>
    <w:basedOn w:val="Normal"/>
    <w:next w:val="Normal"/>
    <w:link w:val="IntenseQuoteChar"/>
    <w:uiPriority w:val="30"/>
    <w:qFormat/>
    <w:rsid w:val="00491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58A"/>
    <w:rPr>
      <w:i/>
      <w:iCs/>
      <w:color w:val="0F4761" w:themeColor="accent1" w:themeShade="BF"/>
    </w:rPr>
  </w:style>
  <w:style w:type="character" w:styleId="IntenseReference">
    <w:name w:val="Intense Reference"/>
    <w:basedOn w:val="DefaultParagraphFont"/>
    <w:uiPriority w:val="32"/>
    <w:qFormat/>
    <w:rsid w:val="004915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6524</Words>
  <Characters>37187</Characters>
  <Application>Microsoft Office Word</Application>
  <DocSecurity>0</DocSecurity>
  <Lines>309</Lines>
  <Paragraphs>87</Paragraphs>
  <ScaleCrop>false</ScaleCrop>
  <Company/>
  <LinksUpToDate>false</LinksUpToDate>
  <CharactersWithSpaces>43624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Yvonne</dc:creator>
  <cp:keywords/>
  <dc:description/>
  <cp:lastModifiedBy>Yang, Yvonne</cp:lastModifiedBy>
  <cp:revision>1</cp:revision>
  <dcterms:created xsi:type="dcterms:W3CDTF">2026-05-08T01:44:00Z</dcterms:created>
  <dcterms:modified xsi:type="dcterms:W3CDTF">2026-05-08T01:44:00Z</dcterms:modified>
</cp:coreProperties>
</file>