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C900" w14:textId="77777777" w:rsidR="00FA39CE" w:rsidRDefault="00FA39CE" w:rsidP="00FA39CE">
      <w:pPr>
        <w:spacing w:after="0" w:line="240" w:lineRule="auto"/>
        <w:rPr>
          <w:rFonts w:ascii="Times New Roman" w:eastAsia="Times New Roman" w:hAnsi="Times New Roman" w:cs="Times New Roman"/>
          <w:kern w:val="0"/>
          <w14:ligatures w14:val="none"/>
        </w:rPr>
      </w:pPr>
      <w:r w:rsidRPr="00DD2D00">
        <w:rPr>
          <w:rFonts w:ascii="Times New Roman" w:eastAsia="Times New Roman" w:hAnsi="Symbol" w:cs="Times New Roman"/>
          <w:kern w:val="0"/>
          <w14:ligatures w14:val="none"/>
        </w:rPr>
        <w:t></w:t>
      </w:r>
      <w:r w:rsidRPr="00DD2D00">
        <w:rPr>
          <w:rFonts w:ascii="Times New Roman" w:eastAsia="Times New Roman" w:hAnsi="Times New Roman" w:cs="Times New Roman"/>
          <w:kern w:val="0"/>
          <w14:ligatures w14:val="none"/>
        </w:rPr>
        <w:t xml:space="preserve">  </w:t>
      </w:r>
      <w:r w:rsidRPr="00DD2D00">
        <w:rPr>
          <w:rFonts w:ascii="Times New Roman" w:eastAsia="Times New Roman" w:hAnsi="Times New Roman" w:cs="Times New Roman"/>
          <w:b/>
          <w:bCs/>
          <w:kern w:val="0"/>
          <w14:ligatures w14:val="none"/>
        </w:rPr>
        <w:t>Wansink Bottomless Bowls</w:t>
      </w:r>
      <w:r w:rsidRPr="00DD2D00">
        <w:rPr>
          <w:rFonts w:ascii="Times New Roman" w:eastAsia="Times New Roman" w:hAnsi="Times New Roman" w:cs="Times New Roman"/>
          <w:kern w:val="0"/>
          <w14:ligatures w14:val="none"/>
        </w:rPr>
        <w:t xml:space="preserve"> </w:t>
      </w:r>
    </w:p>
    <w:p w14:paraId="6E703E53" w14:textId="77777777" w:rsidR="00FA39CE" w:rsidRDefault="00FA39CE" w:rsidP="00FA39CE"/>
    <w:p w14:paraId="60ED817D" w14:textId="77777777" w:rsidR="00FE6A2C" w:rsidRPr="00FE6A2C" w:rsidRDefault="00FE6A2C" w:rsidP="00FE6A2C">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FE6A2C">
        <w:rPr>
          <w:rFonts w:ascii="Inter" w:eastAsia="Times New Roman" w:hAnsi="Inter" w:cs="Times New Roman"/>
          <w:color w:val="0B3D91"/>
          <w:kern w:val="36"/>
          <w:sz w:val="48"/>
          <w:szCs w:val="48"/>
          <w14:ligatures w14:val="none"/>
        </w:rPr>
        <w:t>Claim Review Summary</w:t>
      </w:r>
    </w:p>
    <w:p w14:paraId="128D8AC1"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1. Verdict</w:t>
      </w:r>
    </w:p>
    <w:p w14:paraId="5B10C8A2" w14:textId="77777777" w:rsidR="00FE6A2C" w:rsidRPr="00FE6A2C" w:rsidRDefault="00FE6A2C" w:rsidP="00FE6A2C">
      <w:pPr>
        <w:shd w:val="clear" w:color="auto" w:fill="FFFFFF"/>
        <w:spacing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Questionable</w:t>
      </w:r>
    </w:p>
    <w:p w14:paraId="2DEDC35F"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2. Main problem</w:t>
      </w:r>
    </w:p>
    <w:p w14:paraId="156CE928" w14:textId="77777777" w:rsidR="00FE6A2C" w:rsidRPr="00FE6A2C" w:rsidRDefault="00FE6A2C" w:rsidP="00FE6A2C">
      <w:pPr>
        <w:shd w:val="clear" w:color="auto" w:fill="FFFFFF"/>
        <w:spacing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color w:val="1F2D3D"/>
          <w:kern w:val="0"/>
          <w14:ligatures w14:val="none"/>
        </w:rPr>
        <w:t>The abstract reports a significant increase in soup intake (p = 0.01) but provides no 95% confidence interval or standardized effect size, only means and large standard deviations (57–72% of means). More critically, the secondary outcomes—the core claims that participants “did not believe they had consumed more” and “did not perceive themselves as more sated”—are reported entirely without statistics (no p-values, means, or confidence intervals). The claim that effects were “unaffected by BMI” provides no formal interaction test, p-value, or stratified results. These are critical null findings presented as fact without supporting evidence.</w:t>
      </w:r>
    </w:p>
    <w:p w14:paraId="0E396E9D"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3. Why this matters</w:t>
      </w:r>
    </w:p>
    <w:p w14:paraId="4C5530A9" w14:textId="77777777" w:rsidR="00FE6A2C" w:rsidRPr="00FE6A2C" w:rsidRDefault="00FE6A2C" w:rsidP="00FE6A2C">
      <w:pPr>
        <w:numPr>
          <w:ilvl w:val="0"/>
          <w:numId w:val="2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No confidence interval for primary outcome:</w:t>
      </w:r>
      <w:r w:rsidRPr="00FE6A2C">
        <w:rPr>
          <w:rFonts w:ascii="Inter" w:eastAsia="Times New Roman" w:hAnsi="Inter" w:cs="Times New Roman"/>
          <w:color w:val="1F2D3D"/>
          <w:kern w:val="0"/>
          <w14:ligatures w14:val="none"/>
        </w:rPr>
        <w:t> Large SDs suggest skewed data; the observed 6.2 oz difference may have wide uncertainty. Readers cannot assess effect precision or whether the true difference is clinically meaningful.</w:t>
      </w:r>
    </w:p>
    <w:p w14:paraId="7B38A300" w14:textId="77777777" w:rsidR="00FE6A2C" w:rsidRPr="00FE6A2C" w:rsidRDefault="00FE6A2C" w:rsidP="00FE6A2C">
      <w:pPr>
        <w:numPr>
          <w:ilvl w:val="0"/>
          <w:numId w:val="2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Secondary outcomes lack any statistics:</w:t>
      </w:r>
      <w:r w:rsidRPr="00FE6A2C">
        <w:rPr>
          <w:rFonts w:ascii="Inter" w:eastAsia="Times New Roman" w:hAnsi="Inter" w:cs="Times New Roman"/>
          <w:color w:val="1F2D3D"/>
          <w:kern w:val="0"/>
          <w14:ligatures w14:val="none"/>
        </w:rPr>
        <w:t> Claims of no perceived intake or satiety difference are unverifiable—they may reflect true psychological invariance or simply underpowered null results. Null findings require statistical evidence, not qualitative assertion.</w:t>
      </w:r>
    </w:p>
    <w:p w14:paraId="46D22E83" w14:textId="77777777" w:rsidR="00FE6A2C" w:rsidRPr="00FE6A2C" w:rsidRDefault="00FE6A2C" w:rsidP="00FE6A2C">
      <w:pPr>
        <w:numPr>
          <w:ilvl w:val="0"/>
          <w:numId w:val="2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BMI moderation claim unsupported:</w:t>
      </w:r>
      <w:r w:rsidRPr="00FE6A2C">
        <w:rPr>
          <w:rFonts w:ascii="Inter" w:eastAsia="Times New Roman" w:hAnsi="Inter" w:cs="Times New Roman"/>
          <w:color w:val="1F2D3D"/>
          <w:kern w:val="0"/>
          <w14:ligatures w14:val="none"/>
        </w:rPr>
        <w:t> Stating effects were “unaffected by BMI” without a formal interaction p-value or subgroup results invites undisclosed researcher degrees of freedom—the interaction may have been tested and selectively unreported if non-significant.</w:t>
      </w:r>
    </w:p>
    <w:p w14:paraId="084F26A5"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4. Safer wording</w:t>
      </w:r>
    </w:p>
    <w:p w14:paraId="5F8A2D41" w14:textId="77777777" w:rsidR="00FE6A2C" w:rsidRPr="00FE6A2C" w:rsidRDefault="00FE6A2C" w:rsidP="00FE6A2C">
      <w:pPr>
        <w:shd w:val="clear" w:color="auto" w:fill="FFFFFF"/>
        <w:spacing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color w:val="1F2D3D"/>
          <w:kern w:val="0"/>
          <w14:ligatures w14:val="none"/>
        </w:rPr>
        <w:t>Participants eating from self-refilling bowls consumed more soup than those eating from normal bowls (mean difference approximately 6 oz; p = 0.01), but whether this increase was accompanied by changes in perceived intake or satiety, and whether effects differed by BMI, require statistical verification in the full paper.</w:t>
      </w:r>
    </w:p>
    <w:p w14:paraId="52F701FC"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5. What to check</w:t>
      </w:r>
    </w:p>
    <w:p w14:paraId="6914058C" w14:textId="77777777" w:rsidR="00FE6A2C" w:rsidRPr="00FE6A2C" w:rsidRDefault="00FE6A2C" w:rsidP="00FE6A2C">
      <w:pPr>
        <w:numPr>
          <w:ilvl w:val="0"/>
          <w:numId w:val="2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lastRenderedPageBreak/>
        <w:t>Effect size and confidence interval:</w:t>
      </w:r>
      <w:r w:rsidRPr="00FE6A2C">
        <w:rPr>
          <w:rFonts w:ascii="Inter" w:eastAsia="Times New Roman" w:hAnsi="Inter" w:cs="Times New Roman"/>
          <w:color w:val="1F2D3D"/>
          <w:kern w:val="0"/>
          <w14:ligatures w14:val="none"/>
        </w:rPr>
        <w:t> Report Cohen’s d or η² with 95% CI for the intake difference; given large SDs, also provide median and interquartile range.</w:t>
      </w:r>
    </w:p>
    <w:p w14:paraId="4025C65E" w14:textId="77777777" w:rsidR="00FE6A2C" w:rsidRPr="00FE6A2C" w:rsidRDefault="00FE6A2C" w:rsidP="00FE6A2C">
      <w:pPr>
        <w:numPr>
          <w:ilvl w:val="0"/>
          <w:numId w:val="2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Secondary outcome statistics:</w:t>
      </w:r>
      <w:r w:rsidRPr="00FE6A2C">
        <w:rPr>
          <w:rFonts w:ascii="Inter" w:eastAsia="Times New Roman" w:hAnsi="Inter" w:cs="Times New Roman"/>
          <w:color w:val="1F2D3D"/>
          <w:kern w:val="0"/>
          <w14:ligatures w14:val="none"/>
        </w:rPr>
        <w:t> Provide numeric results (means, SDs, p-values, 95% CIs) for satiety perception and intake estimation by condition—not qualitative descriptions.</w:t>
      </w:r>
    </w:p>
    <w:p w14:paraId="0437DD51" w14:textId="77777777" w:rsidR="00FE6A2C" w:rsidRPr="00FE6A2C" w:rsidRDefault="00FE6A2C" w:rsidP="00FE6A2C">
      <w:pPr>
        <w:numPr>
          <w:ilvl w:val="0"/>
          <w:numId w:val="2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BMI interaction test:</w:t>
      </w:r>
      <w:r w:rsidRPr="00FE6A2C">
        <w:rPr>
          <w:rFonts w:ascii="Inter" w:eastAsia="Times New Roman" w:hAnsi="Inter" w:cs="Times New Roman"/>
          <w:color w:val="1F2D3D"/>
          <w:kern w:val="0"/>
          <w14:ligatures w14:val="none"/>
        </w:rPr>
        <w:t> Report the formal p-value (and 95% CI) for bowl type × BMI interaction; clarify if this was pre-specified or exploratory.</w:t>
      </w:r>
    </w:p>
    <w:p w14:paraId="6E3225BE"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6. Technical note</w:t>
      </w:r>
    </w:p>
    <w:p w14:paraId="14DEE881" w14:textId="77777777" w:rsidR="00FE6A2C" w:rsidRPr="00FE6A2C" w:rsidRDefault="00FE6A2C" w:rsidP="00FE6A2C">
      <w:pPr>
        <w:shd w:val="clear" w:color="auto" w:fill="FFFFFF"/>
        <w:spacing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color w:val="1F2D3D"/>
          <w:kern w:val="0"/>
          <w14:ligatures w14:val="none"/>
        </w:rPr>
        <w:t>Behavioral experiments require complete effect size and confidence interval reporting per Wilkinson &amp; APA Task Force 1999 (Entry 53). Null findings for secondary outcomes demand quantitative evidence, not assertion. Large SDs (57–72% of means) suggest possible skew; median/IQR and assumption checking (normality, homogeneity of variance) are essential. Undisclosed moderator analysis flexibility (Wicherts et al. 2016, Entry 11) raises concerns when interaction claims lack supporting statistics.</w:t>
      </w:r>
    </w:p>
    <w:p w14:paraId="460389B8" w14:textId="77777777" w:rsidR="00FE6A2C" w:rsidRDefault="00FE6A2C" w:rsidP="00FA39CE"/>
    <w:p w14:paraId="67CC4739" w14:textId="77777777" w:rsidR="00FA39CE" w:rsidRDefault="00FA39CE" w:rsidP="00FA39CE">
      <w:pPr>
        <w:spacing w:after="0" w:line="240" w:lineRule="auto"/>
        <w:rPr>
          <w:rFonts w:ascii="Times New Roman" w:eastAsia="Times New Roman" w:hAnsi="Times New Roman" w:cs="Times New Roman"/>
          <w:kern w:val="0"/>
          <w14:ligatures w14:val="none"/>
        </w:rPr>
      </w:pPr>
      <w:r w:rsidRPr="00DD2D00">
        <w:rPr>
          <w:rFonts w:ascii="Times New Roman" w:eastAsia="Times New Roman" w:hAnsi="Symbol" w:cs="Times New Roman"/>
          <w:kern w:val="0"/>
          <w14:ligatures w14:val="none"/>
        </w:rPr>
        <w:t></w:t>
      </w:r>
      <w:r w:rsidRPr="00DD2D00">
        <w:rPr>
          <w:rFonts w:ascii="Times New Roman" w:eastAsia="Times New Roman" w:hAnsi="Times New Roman" w:cs="Times New Roman"/>
          <w:kern w:val="0"/>
          <w14:ligatures w14:val="none"/>
        </w:rPr>
        <w:t xml:space="preserve">  </w:t>
      </w:r>
      <w:r w:rsidRPr="00DD2D00">
        <w:rPr>
          <w:rFonts w:ascii="Times New Roman" w:eastAsia="Times New Roman" w:hAnsi="Times New Roman" w:cs="Times New Roman"/>
          <w:b/>
          <w:bCs/>
          <w:kern w:val="0"/>
          <w14:ligatures w14:val="none"/>
        </w:rPr>
        <w:t>Reinhart &amp; Rogoff</w:t>
      </w:r>
      <w:r w:rsidRPr="00DD2D00">
        <w:rPr>
          <w:rFonts w:ascii="Times New Roman" w:eastAsia="Times New Roman" w:hAnsi="Times New Roman" w:cs="Times New Roman"/>
          <w:kern w:val="0"/>
          <w14:ligatures w14:val="none"/>
        </w:rPr>
        <w:t xml:space="preserve"> </w:t>
      </w:r>
    </w:p>
    <w:p w14:paraId="182B3B1B" w14:textId="77777777" w:rsidR="00FE6A2C" w:rsidRPr="00FE6A2C" w:rsidRDefault="00FE6A2C" w:rsidP="00FE6A2C">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FE6A2C">
        <w:rPr>
          <w:rFonts w:ascii="Inter" w:eastAsia="Times New Roman" w:hAnsi="Inter" w:cs="Times New Roman"/>
          <w:color w:val="0B3D91"/>
          <w:kern w:val="36"/>
          <w:sz w:val="48"/>
          <w:szCs w:val="48"/>
          <w14:ligatures w14:val="none"/>
        </w:rPr>
        <w:t>Claim Review Summary</w:t>
      </w:r>
    </w:p>
    <w:p w14:paraId="4D874A9B"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1. Verdict</w:t>
      </w:r>
    </w:p>
    <w:p w14:paraId="5A46074E" w14:textId="77777777" w:rsidR="00FE6A2C" w:rsidRPr="00FE6A2C" w:rsidRDefault="00FE6A2C" w:rsidP="00FE6A2C">
      <w:pPr>
        <w:shd w:val="clear" w:color="auto" w:fill="FFFFFF"/>
        <w:spacing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Misleading</w:t>
      </w:r>
    </w:p>
    <w:p w14:paraId="4B9323DC"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2. Main problem</w:t>
      </w:r>
    </w:p>
    <w:p w14:paraId="66D397AB" w14:textId="77777777" w:rsidR="00FE6A2C" w:rsidRPr="00FE6A2C" w:rsidRDefault="00FE6A2C" w:rsidP="00FE6A2C">
      <w:pPr>
        <w:shd w:val="clear" w:color="auto" w:fill="FFFFFF"/>
        <w:spacing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color w:val="1F2D3D"/>
          <w:kern w:val="0"/>
          <w14:ligatures w14:val="none"/>
        </w:rPr>
        <w:t>The excerpt presents causal claims about debt’s effects on economic growth (“growth falls,” “growth declines”) using only qualitative language without a single p-value, confidence interval, or regression coefficient. The critical threshold findings (90% for government debt, 60% for external debt) are reported as precise cutpoints despite substantial unaddressed confounding risk (high debt co-occurs with financial crises and wars that reduce growth independently) and no disclosed temporal lag structure or adjustment for reverse causality (poor growth may cause debt accumulation, not vice versa).</w:t>
      </w:r>
    </w:p>
    <w:p w14:paraId="5E6E78C6"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3. Why this matters</w:t>
      </w:r>
    </w:p>
    <w:p w14:paraId="4F1C3538" w14:textId="77777777" w:rsidR="00FE6A2C" w:rsidRPr="00FE6A2C" w:rsidRDefault="00FE6A2C" w:rsidP="00FE6A2C">
      <w:pPr>
        <w:numPr>
          <w:ilvl w:val="0"/>
          <w:numId w:val="3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Causal language without causal design:</w:t>
      </w:r>
      <w:r w:rsidRPr="00FE6A2C">
        <w:rPr>
          <w:rFonts w:ascii="Inter" w:eastAsia="Times New Roman" w:hAnsi="Inter" w:cs="Times New Roman"/>
          <w:color w:val="1F2D3D"/>
          <w:kern w:val="0"/>
          <w14:ligatures w14:val="none"/>
        </w:rPr>
        <w:t> The observational study uses words like “falls” and “declines” implying debt causes lower growth, but confounding (crises, wars, recessions) and reverse causality (growth affects debt) are wholly unaddressed. Readers may misinterpret association as causation.</w:t>
      </w:r>
    </w:p>
    <w:p w14:paraId="083297C3" w14:textId="77777777" w:rsidR="00FE6A2C" w:rsidRPr="00FE6A2C" w:rsidRDefault="00FE6A2C" w:rsidP="00FE6A2C">
      <w:pPr>
        <w:numPr>
          <w:ilvl w:val="0"/>
          <w:numId w:val="3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lastRenderedPageBreak/>
        <w:t>Thresholds presented as precise facts without uncertainty:</w:t>
      </w:r>
      <w:r w:rsidRPr="00FE6A2C">
        <w:rPr>
          <w:rFonts w:ascii="Inter" w:eastAsia="Times New Roman" w:hAnsi="Inter" w:cs="Times New Roman"/>
          <w:color w:val="1F2D3D"/>
          <w:kern w:val="0"/>
          <w14:ligatures w14:val="none"/>
        </w:rPr>
        <w:t> The 90% and 60% breakpoints lack confidence intervals, sensitivity analysis, or disclosure of whether they were pre-specified or data-driven. Small threshold variations (85% vs. 95%) could yield different policy conclusions but are not tested.</w:t>
      </w:r>
    </w:p>
    <w:p w14:paraId="17F4D554" w14:textId="77777777" w:rsidR="00FE6A2C" w:rsidRPr="00FE6A2C" w:rsidRDefault="00FE6A2C" w:rsidP="00FE6A2C">
      <w:pPr>
        <w:numPr>
          <w:ilvl w:val="0"/>
          <w:numId w:val="3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No quantitative evidence for claims:</w:t>
      </w:r>
      <w:r w:rsidRPr="00FE6A2C">
        <w:rPr>
          <w:rFonts w:ascii="Inter" w:eastAsia="Times New Roman" w:hAnsi="Inter" w:cs="Times New Roman"/>
          <w:color w:val="1F2D3D"/>
          <w:kern w:val="0"/>
          <w14:ligatures w14:val="none"/>
        </w:rPr>
        <w:t> Statements like “median growth falls by one percent” and “growth is roughly cut in half” provide no p-values, standard errors, or confidence intervals. Readers cannot assess effect magnitude, statistical significance, or precision.</w:t>
      </w:r>
    </w:p>
    <w:p w14:paraId="26A8C7EA"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4. Safer wording</w:t>
      </w:r>
    </w:p>
    <w:p w14:paraId="340A3207" w14:textId="77777777" w:rsidR="00FE6A2C" w:rsidRPr="00FE6A2C" w:rsidRDefault="00FE6A2C" w:rsidP="00FE6A2C">
      <w:pPr>
        <w:shd w:val="clear" w:color="auto" w:fill="FFFFFF"/>
        <w:spacing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color w:val="1F2D3D"/>
          <w:kern w:val="0"/>
          <w14:ligatures w14:val="none"/>
        </w:rPr>
        <w:t>Government and external debt are associated with lower real GDP growth at certain debt-to-GDP levels in this cross-national observational analysis, though the magnitude of these associations and their causal interpretation require verification through formal statistical testing, confounding adjustment, temporal lag specification, and robustness analysis.</w:t>
      </w:r>
    </w:p>
    <w:p w14:paraId="062DFE1A"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5. What to check</w:t>
      </w:r>
    </w:p>
    <w:p w14:paraId="2D79F0D5" w14:textId="77777777" w:rsidR="00FE6A2C" w:rsidRPr="00FE6A2C" w:rsidRDefault="00FE6A2C" w:rsidP="00FE6A2C">
      <w:pPr>
        <w:numPr>
          <w:ilvl w:val="0"/>
          <w:numId w:val="3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Threshold uncertainty and robustness:</w:t>
      </w:r>
      <w:r w:rsidRPr="00FE6A2C">
        <w:rPr>
          <w:rFonts w:ascii="Inter" w:eastAsia="Times New Roman" w:hAnsi="Inter" w:cs="Times New Roman"/>
          <w:color w:val="1F2D3D"/>
          <w:kern w:val="0"/>
          <w14:ligatures w14:val="none"/>
        </w:rPr>
        <w:t> Report 95% confidence intervals around the 90% and 60% thresholds; disclose whether they were pre-specified or data-driven; conduct sensitivity analysis at ±5–10 percentage point variations.</w:t>
      </w:r>
    </w:p>
    <w:p w14:paraId="3A18D67F" w14:textId="77777777" w:rsidR="00FE6A2C" w:rsidRPr="00FE6A2C" w:rsidRDefault="00FE6A2C" w:rsidP="00FE6A2C">
      <w:pPr>
        <w:numPr>
          <w:ilvl w:val="0"/>
          <w:numId w:val="3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Complete regression results:</w:t>
      </w:r>
      <w:r w:rsidRPr="00FE6A2C">
        <w:rPr>
          <w:rFonts w:ascii="Inter" w:eastAsia="Times New Roman" w:hAnsi="Inter" w:cs="Times New Roman"/>
          <w:color w:val="1F2D3D"/>
          <w:kern w:val="0"/>
          <w14:ligatures w14:val="none"/>
        </w:rPr>
        <w:t> Provide coefficients, standard errors, 95% confidence intervals, and p-values for all associations (debt–growth, debt–inflation); replace qualitative descriptions with precise quantitative estimates.</w:t>
      </w:r>
    </w:p>
    <w:p w14:paraId="65E9AC0A" w14:textId="77777777" w:rsidR="00FE6A2C" w:rsidRPr="00FE6A2C" w:rsidRDefault="00FE6A2C" w:rsidP="00FE6A2C">
      <w:pPr>
        <w:numPr>
          <w:ilvl w:val="0"/>
          <w:numId w:val="3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b/>
          <w:bCs/>
          <w:color w:val="1F2D3D"/>
          <w:kern w:val="0"/>
          <w14:ligatures w14:val="none"/>
        </w:rPr>
        <w:t>Confounding and causality:</w:t>
      </w:r>
      <w:r w:rsidRPr="00FE6A2C">
        <w:rPr>
          <w:rFonts w:ascii="Inter" w:eastAsia="Times New Roman" w:hAnsi="Inter" w:cs="Times New Roman"/>
          <w:color w:val="1F2D3D"/>
          <w:kern w:val="0"/>
          <w14:ligatures w14:val="none"/>
        </w:rPr>
        <w:t> List which variables were measured and adjusted (institutions, policy, crisis indicators); specify temporal structure (whether debt is lagged relative to growth); discuss reverse causality mechanism and mitigation strategies.</w:t>
      </w:r>
    </w:p>
    <w:p w14:paraId="5079D6AC" w14:textId="77777777" w:rsidR="00FE6A2C" w:rsidRPr="00FE6A2C" w:rsidRDefault="00FE6A2C" w:rsidP="00FE6A2C">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FE6A2C">
        <w:rPr>
          <w:rFonts w:ascii="Inter" w:eastAsia="Times New Roman" w:hAnsi="Inter" w:cs="Times New Roman"/>
          <w:color w:val="0B3D91"/>
          <w:kern w:val="0"/>
          <w:sz w:val="36"/>
          <w:szCs w:val="36"/>
          <w14:ligatures w14:val="none"/>
        </w:rPr>
        <w:t>6. Technical note</w:t>
      </w:r>
    </w:p>
    <w:p w14:paraId="6D2D528F" w14:textId="77777777" w:rsidR="00FE6A2C" w:rsidRPr="00FE6A2C" w:rsidRDefault="00FE6A2C" w:rsidP="00FE6A2C">
      <w:pPr>
        <w:shd w:val="clear" w:color="auto" w:fill="FFFFFF"/>
        <w:spacing w:after="100" w:afterAutospacing="1" w:line="240" w:lineRule="auto"/>
        <w:rPr>
          <w:rFonts w:ascii="Inter" w:eastAsia="Times New Roman" w:hAnsi="Inter" w:cs="Times New Roman"/>
          <w:color w:val="1F2D3D"/>
          <w:kern w:val="0"/>
          <w14:ligatures w14:val="none"/>
        </w:rPr>
      </w:pPr>
      <w:r w:rsidRPr="00FE6A2C">
        <w:rPr>
          <w:rFonts w:ascii="Inter" w:eastAsia="Times New Roman" w:hAnsi="Inter" w:cs="Times New Roman"/>
          <w:color w:val="1F2D3D"/>
          <w:kern w:val="0"/>
          <w14:ligatures w14:val="none"/>
        </w:rPr>
        <w:t>Observational associations between debt and growth are highly vulnerable to confounding (financial crises, wars, policy shifts co-occur with both high debt and low growth). This excerpt uses causal language without establishing temporal precedence, controlling for confounders, or addressing reverse causality per Hernán &amp; Robins (Entry 20). Thresholds are presented as facts without confidence intervals or sensitivity analysis—characteristic of data-driven reporting without uncertainty quantification per Bailar &amp; Mosteller 1988 (Entry 1).</w:t>
      </w:r>
    </w:p>
    <w:p w14:paraId="3E67C708" w14:textId="77777777" w:rsidR="00FA39CE" w:rsidRDefault="00FA39CE" w:rsidP="00FA39CE"/>
    <w:p w14:paraId="0C59CB72" w14:textId="77777777" w:rsidR="00FA39CE" w:rsidRDefault="00FA39CE" w:rsidP="00FA39CE">
      <w:pPr>
        <w:pStyle w:val="ListParagraph"/>
        <w:numPr>
          <w:ilvl w:val="0"/>
          <w:numId w:val="1"/>
        </w:numPr>
        <w:rPr>
          <w:rFonts w:ascii="Times New Roman" w:eastAsia="Times New Roman" w:hAnsi="Times New Roman" w:cs="Times New Roman"/>
          <w:b/>
          <w:bCs/>
          <w:kern w:val="0"/>
          <w14:ligatures w14:val="none"/>
        </w:rPr>
      </w:pPr>
      <w:r w:rsidRPr="00FA39CE">
        <w:rPr>
          <w:rFonts w:ascii="Times New Roman" w:eastAsia="Times New Roman" w:hAnsi="Times New Roman" w:cs="Times New Roman"/>
          <w:b/>
          <w:bCs/>
          <w:kern w:val="0"/>
          <w14:ligatures w14:val="none"/>
        </w:rPr>
        <w:t>LaCour &amp; Green</w:t>
      </w:r>
    </w:p>
    <w:p w14:paraId="42C0F660" w14:textId="77777777" w:rsidR="00204C63" w:rsidRPr="00204C63" w:rsidRDefault="00204C63" w:rsidP="00204C63">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204C63">
        <w:rPr>
          <w:rFonts w:ascii="Inter" w:eastAsia="Times New Roman" w:hAnsi="Inter" w:cs="Times New Roman"/>
          <w:color w:val="0B3D91"/>
          <w:kern w:val="36"/>
          <w:sz w:val="48"/>
          <w:szCs w:val="48"/>
          <w14:ligatures w14:val="none"/>
        </w:rPr>
        <w:t>Claim Review Summary</w:t>
      </w:r>
    </w:p>
    <w:p w14:paraId="7FB88AFA"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lastRenderedPageBreak/>
        <w:t>1. Verdict</w:t>
      </w:r>
    </w:p>
    <w:p w14:paraId="65B88B4F"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Misleading</w:t>
      </w:r>
    </w:p>
    <w:p w14:paraId="73C54484"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2. Main problem</w:t>
      </w:r>
    </w:p>
    <w:p w14:paraId="71E26E97"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abstract makes sweeping causal claims (“Contact with minorities… is capable of producing a cascade of opinion change”) and emphasizes dramatic findings (“large, persistent, and contagious effects”) using purely qualitative language—no effect sizes, confidence intervals, or p-values are reported for any outcome at any time point. The core claim of differential persistence between gay and straight canvassers lacks a formal statistical test. Additionally, 972 voters are nested within only 41 canvassers; if clustering is not accounted for, standard errors are severely biased downward, inflating false-positive risk.</w:t>
      </w:r>
    </w:p>
    <w:p w14:paraId="16B9939D"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3. Why this matters</w:t>
      </w:r>
    </w:p>
    <w:p w14:paraId="6860B225" w14:textId="77777777" w:rsidR="00204C63" w:rsidRPr="00204C63" w:rsidRDefault="00204C63" w:rsidP="00204C63">
      <w:pPr>
        <w:numPr>
          <w:ilvl w:val="0"/>
          <w:numId w:val="2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Qualitative language masks uncertainty:</w:t>
      </w:r>
      <w:r w:rsidRPr="00204C63">
        <w:rPr>
          <w:rFonts w:ascii="Inter" w:eastAsia="Times New Roman" w:hAnsi="Inter" w:cs="Times New Roman"/>
          <w:color w:val="1F2D3D"/>
          <w:kern w:val="0"/>
          <w14:ligatures w14:val="none"/>
        </w:rPr>
        <w:t> Terms like “large effects,” “strong evidence,” and “substantial change” are unsubstantiated by quantitative metrics. Readers cannot assess whether findings are robust or within noise margins—this invites overconfident interpretation.</w:t>
      </w:r>
    </w:p>
    <w:p w14:paraId="609F138D" w14:textId="77777777" w:rsidR="00204C63" w:rsidRPr="00204C63" w:rsidRDefault="00204C63" w:rsidP="00204C63">
      <w:pPr>
        <w:numPr>
          <w:ilvl w:val="0"/>
          <w:numId w:val="2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Missing interaction test:</w:t>
      </w:r>
      <w:r w:rsidRPr="00204C63">
        <w:rPr>
          <w:rFonts w:ascii="Inter" w:eastAsia="Times New Roman" w:hAnsi="Inter" w:cs="Times New Roman"/>
          <w:color w:val="1F2D3D"/>
          <w:kern w:val="0"/>
          <w14:ligatures w14:val="none"/>
        </w:rPr>
        <w:t> The claim hinges on differential persistence (gay canvassers’ effects persist, straight canvassers’ do not), but no canvasser type × time interaction p-value is provided. Apparent differences may reflect sampling variability, not true effects.</w:t>
      </w:r>
    </w:p>
    <w:p w14:paraId="51BDE775" w14:textId="77777777" w:rsidR="00204C63" w:rsidRPr="00204C63" w:rsidRDefault="00204C63" w:rsidP="00204C63">
      <w:pPr>
        <w:numPr>
          <w:ilvl w:val="0"/>
          <w:numId w:val="2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Hierarchical clustering unaddressed:</w:t>
      </w:r>
      <w:r w:rsidRPr="00204C63">
        <w:rPr>
          <w:rFonts w:ascii="Inter" w:eastAsia="Times New Roman" w:hAnsi="Inter" w:cs="Times New Roman"/>
          <w:color w:val="1F2D3D"/>
          <w:kern w:val="0"/>
          <w14:ligatures w14:val="none"/>
        </w:rPr>
        <w:t> Treatment is assigned to 41 canvassers but outcomes measured on 972 voters. Ignoring clustering produces artificially small standard errors and inflated false-positive risk; effective sample size for the canvasser comparison is ~41, not 972.</w:t>
      </w:r>
    </w:p>
    <w:p w14:paraId="7D65482B"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4. Safer wording</w:t>
      </w:r>
    </w:p>
    <w:p w14:paraId="318EA391"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In a randomized experiment, conversations with gay and straight canvassers both produced initial changes in support for same-sex marriage, but the extent to which gay canvassers’ effects persisted at follow-up timepoints and the degree to which effects spread within households remain to be quantified with effect sizes and confidence intervals; whether this persistence differed significantly from straight canvassers requires formal statistical testing accounting for clustering of voters within canvassers.</w:t>
      </w:r>
    </w:p>
    <w:p w14:paraId="4825B496"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5. What to check</w:t>
      </w:r>
    </w:p>
    <w:p w14:paraId="698DC032" w14:textId="77777777" w:rsidR="00204C63" w:rsidRPr="00204C63" w:rsidRDefault="00204C63" w:rsidP="00204C63">
      <w:pPr>
        <w:numPr>
          <w:ilvl w:val="0"/>
          <w:numId w:val="2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lastRenderedPageBreak/>
        <w:t>Effect sizes and confidence intervals:</w:t>
      </w:r>
      <w:r w:rsidRPr="00204C63">
        <w:rPr>
          <w:rFonts w:ascii="Inter" w:eastAsia="Times New Roman" w:hAnsi="Inter" w:cs="Times New Roman"/>
          <w:color w:val="1F2D3D"/>
          <w:kern w:val="0"/>
          <w14:ligatures w14:val="none"/>
        </w:rPr>
        <w:t> Require point estimates (percentage-point changes, Cohen’s d, or regression coefficients) with 95% CIs for each outcome at each timepoint, disaggregated by canvasser type.</w:t>
      </w:r>
    </w:p>
    <w:p w14:paraId="7E1338F8" w14:textId="77777777" w:rsidR="00204C63" w:rsidRPr="00204C63" w:rsidRDefault="00204C63" w:rsidP="00204C63">
      <w:pPr>
        <w:numPr>
          <w:ilvl w:val="0"/>
          <w:numId w:val="2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Clustering adjustment:</w:t>
      </w:r>
      <w:r w:rsidRPr="00204C63">
        <w:rPr>
          <w:rFonts w:ascii="Inter" w:eastAsia="Times New Roman" w:hAnsi="Inter" w:cs="Times New Roman"/>
          <w:color w:val="1F2D3D"/>
          <w:kern w:val="0"/>
          <w14:ligatures w14:val="none"/>
        </w:rPr>
        <w:t> Clarify sample allocation (how many voters assigned to each canvasser arm), report intraclass correlation or design effect, and confirm that standard errors account for the nested structure of voters within canvassers.</w:t>
      </w:r>
    </w:p>
    <w:p w14:paraId="427D7722" w14:textId="77777777" w:rsidR="00204C63" w:rsidRPr="00204C63" w:rsidRDefault="00204C63" w:rsidP="00204C63">
      <w:pPr>
        <w:numPr>
          <w:ilvl w:val="0"/>
          <w:numId w:val="2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Interaction test:</w:t>
      </w:r>
      <w:r w:rsidRPr="00204C63">
        <w:rPr>
          <w:rFonts w:ascii="Inter" w:eastAsia="Times New Roman" w:hAnsi="Inter" w:cs="Times New Roman"/>
          <w:color w:val="1F2D3D"/>
          <w:kern w:val="0"/>
          <w14:ligatures w14:val="none"/>
        </w:rPr>
        <w:t> Report the point estimate, 95% CI, and p-value for the canvasser type × time interaction to quantify statistical evidence for the differential persistence claim; confirm this test was pre-specified.</w:t>
      </w:r>
    </w:p>
    <w:p w14:paraId="6250228D"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6. Technical note</w:t>
      </w:r>
    </w:p>
    <w:p w14:paraId="374A54D6"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Behavioral RCTs with nested designs require careful attention to hierarchical clustering and complete reporting of effect sizes with confidence intervals per Wilkinson &amp; APA Task Force 1999 (Entry 53) and Bailar &amp; Mosteller 1988 (Entry 1). Testing multiple timepoints (3-week, 6-week, 9-month) and multiple outcomes (persistence, household transmission, attitude generalization) without disclosed multiplicity correction invites false positives (Wicherts et al. 2016, Entry 11). Replication claims cannot be assessed without detailed reporting of the follow-up experiment’s design, sample, and results.</w:t>
      </w:r>
    </w:p>
    <w:p w14:paraId="65172FEB" w14:textId="77777777" w:rsidR="00BD5942" w:rsidRPr="00BD5942" w:rsidRDefault="00BD5942" w:rsidP="00BD5942">
      <w:pPr>
        <w:shd w:val="clear" w:color="auto" w:fill="FFFFFF"/>
        <w:spacing w:after="100" w:afterAutospacing="1" w:line="240" w:lineRule="auto"/>
        <w:rPr>
          <w:rFonts w:ascii="Inter" w:eastAsia="Times New Roman" w:hAnsi="Inter" w:cs="Times New Roman"/>
          <w:color w:val="1F2D3D"/>
          <w:kern w:val="0"/>
          <w14:ligatures w14:val="none"/>
        </w:rPr>
      </w:pPr>
    </w:p>
    <w:p w14:paraId="73516715" w14:textId="77777777" w:rsidR="00BD5942" w:rsidRDefault="00BD5942" w:rsidP="00BD5942">
      <w:pPr>
        <w:pStyle w:val="ListParagraph"/>
        <w:numPr>
          <w:ilvl w:val="0"/>
          <w:numId w:val="4"/>
        </w:numPr>
      </w:pPr>
      <w:r>
        <w:t>Randomized Trial of Early Detection and Treatment of Postpartum Hemorrhage</w:t>
      </w:r>
    </w:p>
    <w:p w14:paraId="6991A821" w14:textId="77777777" w:rsidR="00204C63" w:rsidRPr="00204C63" w:rsidRDefault="00204C63" w:rsidP="00204C63">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204C63">
        <w:rPr>
          <w:rFonts w:ascii="Inter" w:eastAsia="Times New Roman" w:hAnsi="Inter" w:cs="Times New Roman"/>
          <w:color w:val="0B3D91"/>
          <w:kern w:val="36"/>
          <w:sz w:val="48"/>
          <w:szCs w:val="48"/>
          <w14:ligatures w14:val="none"/>
        </w:rPr>
        <w:t>Claim Review Summary</w:t>
      </w:r>
    </w:p>
    <w:p w14:paraId="13EBE477"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1. Verdict</w:t>
      </w:r>
    </w:p>
    <w:p w14:paraId="5BA860FA"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Supported</w:t>
      </w:r>
    </w:p>
    <w:p w14:paraId="659D360D" w14:textId="77777777" w:rsidR="00204C63" w:rsidRPr="00204C63" w:rsidRDefault="00AC2C91" w:rsidP="00204C63">
      <w:pPr>
        <w:spacing w:after="0" w:line="240" w:lineRule="auto"/>
        <w:rPr>
          <w:rFonts w:ascii="Inter" w:eastAsia="Times New Roman" w:hAnsi="Inter" w:cs="Times New Roman"/>
          <w:kern w:val="0"/>
          <w14:ligatures w14:val="none"/>
        </w:rPr>
      </w:pPr>
      <w:r w:rsidRPr="00AC2C91">
        <w:rPr>
          <w:rFonts w:ascii="Times New Roman" w:eastAsia="Times New Roman" w:hAnsi="Times New Roman" w:cs="Times New Roman"/>
          <w:noProof/>
          <w:kern w:val="0"/>
        </w:rPr>
        <w:pict w14:anchorId="77C9B021">
          <v:rect id="_x0000_i1029" alt="" style="width:468pt;height:.05pt;mso-width-percent:0;mso-height-percent:0;mso-width-percent:0;mso-height-percent:0" o:hralign="center" o:hrstd="t" o:hr="t" fillcolor="#a0a0a0" stroked="f"/>
        </w:pict>
      </w:r>
    </w:p>
    <w:p w14:paraId="5B2F8BC1"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2. Main problem</w:t>
      </w:r>
    </w:p>
    <w:p w14:paraId="4A114EB1"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primary outcome is a composite of three distinct clinical events (blood loss ≥1000 ml, laparotomy for bleeding, maternal death). The reported risk ratio 0.40 reflects their combined effect, not the contribution of each component. Readers cannot determine whether all three outcomes were reduced equally or if one component (e.g., avoiding laparotomy) drove the entire benefit.</w:t>
      </w:r>
    </w:p>
    <w:p w14:paraId="1504C581" w14:textId="77777777" w:rsidR="00204C63" w:rsidRPr="00204C63" w:rsidRDefault="00AC2C91" w:rsidP="00204C63">
      <w:pPr>
        <w:spacing w:after="0" w:line="240" w:lineRule="auto"/>
        <w:rPr>
          <w:rFonts w:ascii="Inter" w:eastAsia="Times New Roman" w:hAnsi="Inter" w:cs="Times New Roman"/>
          <w:kern w:val="0"/>
          <w14:ligatures w14:val="none"/>
        </w:rPr>
      </w:pPr>
      <w:r w:rsidRPr="00AC2C91">
        <w:rPr>
          <w:rFonts w:ascii="Times New Roman" w:eastAsia="Times New Roman" w:hAnsi="Times New Roman" w:cs="Times New Roman"/>
          <w:noProof/>
          <w:kern w:val="0"/>
        </w:rPr>
        <w:pict w14:anchorId="70A2B978">
          <v:rect id="_x0000_i1028" alt="" style="width:468pt;height:.05pt;mso-width-percent:0;mso-height-percent:0;mso-width-percent:0;mso-height-percent:0" o:hralign="center" o:hrstd="t" o:hr="t" fillcolor="#a0a0a0" stroked="f"/>
        </w:pict>
      </w:r>
    </w:p>
    <w:p w14:paraId="73199A3C"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3. Why this matters</w:t>
      </w:r>
    </w:p>
    <w:p w14:paraId="383EEEBA" w14:textId="77777777" w:rsidR="00204C63" w:rsidRPr="00204C63" w:rsidRDefault="00204C63" w:rsidP="00204C63">
      <w:pPr>
        <w:numPr>
          <w:ilvl w:val="0"/>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lastRenderedPageBreak/>
        <w:t>Clinical interpretation differs by component.</w:t>
      </w:r>
      <w:r w:rsidRPr="00204C63">
        <w:rPr>
          <w:rFonts w:ascii="Inter" w:eastAsia="Times New Roman" w:hAnsi="Inter" w:cs="Times New Roman"/>
          <w:color w:val="1F2D3D"/>
          <w:kern w:val="0"/>
          <w14:ligatures w14:val="none"/>
        </w:rPr>
        <w:t> A 60% reduction in death is clinically transformative; a 60% reduction in laparotomy rates alone is less compelling and may reflect case selection or threshold changes rather than hemorrhage control.</w:t>
      </w:r>
    </w:p>
    <w:p w14:paraId="615923DE" w14:textId="77777777" w:rsidR="00204C63" w:rsidRPr="00204C63" w:rsidRDefault="00204C63" w:rsidP="00204C63">
      <w:pPr>
        <w:numPr>
          <w:ilvl w:val="0"/>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Composite outcomes can mask harm.</w:t>
      </w:r>
      <w:r w:rsidRPr="00204C63">
        <w:rPr>
          <w:rFonts w:ascii="Inter" w:eastAsia="Times New Roman" w:hAnsi="Inter" w:cs="Times New Roman"/>
          <w:color w:val="1F2D3D"/>
          <w:kern w:val="0"/>
          <w14:ligatures w14:val="none"/>
        </w:rPr>
        <w:t> Without component breakdown, one cannot assess whether the intervention reduced all outcomes or increased one while decreasing another.</w:t>
      </w:r>
    </w:p>
    <w:p w14:paraId="33C1F4BC" w14:textId="77777777" w:rsidR="00204C63" w:rsidRPr="00204C63" w:rsidRDefault="00204C63" w:rsidP="00204C63">
      <w:pPr>
        <w:numPr>
          <w:ilvl w:val="0"/>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Generalizability depends on outcome distribution.</w:t>
      </w:r>
      <w:r w:rsidRPr="00204C63">
        <w:rPr>
          <w:rFonts w:ascii="Inter" w:eastAsia="Times New Roman" w:hAnsi="Inter" w:cs="Times New Roman"/>
          <w:color w:val="1F2D3D"/>
          <w:kern w:val="0"/>
          <w14:ligatures w14:val="none"/>
        </w:rPr>
        <w:t> Settings where blood loss ≥1000 ml is common may see different relative benefits than those where death is the driving event.</w:t>
      </w:r>
    </w:p>
    <w:p w14:paraId="32D69827" w14:textId="77777777" w:rsidR="00204C63" w:rsidRPr="00204C63" w:rsidRDefault="00AC2C91" w:rsidP="00204C63">
      <w:pPr>
        <w:spacing w:after="0" w:line="240" w:lineRule="auto"/>
        <w:rPr>
          <w:rFonts w:ascii="Inter" w:eastAsia="Times New Roman" w:hAnsi="Inter" w:cs="Times New Roman"/>
          <w:kern w:val="0"/>
          <w14:ligatures w14:val="none"/>
        </w:rPr>
      </w:pPr>
      <w:r w:rsidRPr="00AC2C91">
        <w:rPr>
          <w:rFonts w:ascii="Times New Roman" w:eastAsia="Times New Roman" w:hAnsi="Times New Roman" w:cs="Times New Roman"/>
          <w:noProof/>
          <w:kern w:val="0"/>
        </w:rPr>
        <w:pict w14:anchorId="5B521E69">
          <v:rect id="_x0000_i1027" alt="" style="width:468pt;height:.05pt;mso-width-percent:0;mso-height-percent:0;mso-width-percent:0;mso-height-percent:0" o:hralign="center" o:hrstd="t" o:hr="t" fillcolor="#a0a0a0" stroked="f"/>
        </w:pict>
      </w:r>
    </w:p>
    <w:p w14:paraId="6D97F16C"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4. Safer wording</w:t>
      </w:r>
    </w:p>
    <w:p w14:paraId="7915B398"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Among women undergoing vaginal delivery in secondary-level hospitals across four countries, the intervention group had a lower composite outcome rate of severe postpartum hemorrhage, laparotomy for bleeding, or maternal death (1.6% vs 4.3%; risk ratio 0.40, 95% CI 0.32–0.50); component-specific effects require separate reporting.</w:t>
      </w:r>
    </w:p>
    <w:p w14:paraId="5097B5B2" w14:textId="77777777" w:rsidR="00204C63" w:rsidRPr="00204C63" w:rsidRDefault="00AC2C91" w:rsidP="00204C63">
      <w:pPr>
        <w:spacing w:after="0" w:line="240" w:lineRule="auto"/>
        <w:rPr>
          <w:rFonts w:ascii="Inter" w:eastAsia="Times New Roman" w:hAnsi="Inter" w:cs="Times New Roman"/>
          <w:kern w:val="0"/>
          <w14:ligatures w14:val="none"/>
        </w:rPr>
      </w:pPr>
      <w:r w:rsidRPr="00AC2C91">
        <w:rPr>
          <w:rFonts w:ascii="Times New Roman" w:eastAsia="Times New Roman" w:hAnsi="Times New Roman" w:cs="Times New Roman"/>
          <w:noProof/>
          <w:kern w:val="0"/>
        </w:rPr>
        <w:pict w14:anchorId="3A8B916D">
          <v:rect id="_x0000_i1026" alt="" style="width:468pt;height:.05pt;mso-width-percent:0;mso-height-percent:0;mso-width-percent:0;mso-height-percent:0" o:hralign="center" o:hrstd="t" o:hr="t" fillcolor="#a0a0a0" stroked="f"/>
        </w:pict>
      </w:r>
    </w:p>
    <w:p w14:paraId="672241A8"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5. What to check</w:t>
      </w:r>
    </w:p>
    <w:p w14:paraId="283DBBA0" w14:textId="77777777" w:rsidR="00204C63" w:rsidRPr="00204C63" w:rsidRDefault="00204C63" w:rsidP="00204C63">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Component breakdown:</w:t>
      </w:r>
      <w:r w:rsidRPr="00204C63">
        <w:rPr>
          <w:rFonts w:ascii="Inter" w:eastAsia="Times New Roman" w:hAnsi="Inter" w:cs="Times New Roman"/>
          <w:color w:val="1F2D3D"/>
          <w:kern w:val="0"/>
          <w14:ligatures w14:val="none"/>
        </w:rPr>
        <w:t> What proportion of the primary outcome events in each arm were driven by blood loss ≥1000 ml, laparotomy, and death? Report effect sizes separately.</w:t>
      </w:r>
    </w:p>
    <w:p w14:paraId="6353AAAF" w14:textId="77777777" w:rsidR="00204C63" w:rsidRPr="00204C63" w:rsidRDefault="00204C63" w:rsidP="00204C63">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Baseline comparability:</w:t>
      </w:r>
      <w:r w:rsidRPr="00204C63">
        <w:rPr>
          <w:rFonts w:ascii="Inter" w:eastAsia="Times New Roman" w:hAnsi="Inter" w:cs="Times New Roman"/>
          <w:color w:val="1F2D3D"/>
          <w:kern w:val="0"/>
          <w14:ligatures w14:val="none"/>
        </w:rPr>
        <w:t> Were the 80 hospitals and 210,132 patients balanced across arms in size, staffing, baseline hemorrhage management, and patient demographics?</w:t>
      </w:r>
    </w:p>
    <w:p w14:paraId="1BC7F94E" w14:textId="77777777" w:rsidR="00204C63" w:rsidRPr="00204C63" w:rsidRDefault="00204C63" w:rsidP="00204C63">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Missing data and exclusions:</w:t>
      </w:r>
      <w:r w:rsidRPr="00204C63">
        <w:rPr>
          <w:rFonts w:ascii="Inter" w:eastAsia="Times New Roman" w:hAnsi="Inter" w:cs="Times New Roman"/>
          <w:color w:val="1F2D3D"/>
          <w:kern w:val="0"/>
          <w14:ligatures w14:val="none"/>
        </w:rPr>
        <w:t> The phrase “among hospitals and patients with data” implies exclusions. Report denominator, mechanism, and extent of missing outcome data by arm.</w:t>
      </w:r>
    </w:p>
    <w:p w14:paraId="61B3F73B" w14:textId="77777777" w:rsidR="00204C63" w:rsidRPr="00204C63" w:rsidRDefault="00AC2C91" w:rsidP="00204C63">
      <w:pPr>
        <w:spacing w:after="0" w:line="240" w:lineRule="auto"/>
        <w:rPr>
          <w:rFonts w:ascii="Inter" w:eastAsia="Times New Roman" w:hAnsi="Inter" w:cs="Times New Roman"/>
          <w:kern w:val="0"/>
          <w14:ligatures w14:val="none"/>
        </w:rPr>
      </w:pPr>
      <w:r w:rsidRPr="00AC2C91">
        <w:rPr>
          <w:rFonts w:ascii="Times New Roman" w:eastAsia="Times New Roman" w:hAnsi="Times New Roman" w:cs="Times New Roman"/>
          <w:noProof/>
          <w:kern w:val="0"/>
        </w:rPr>
        <w:pict w14:anchorId="025AC03D">
          <v:rect id="_x0000_i1025" alt="" style="width:468pt;height:.05pt;mso-width-percent:0;mso-height-percent:0;mso-width-percent:0;mso-height-percent:0" o:hralign="center" o:hrstd="t" o:hr="t" fillcolor="#a0a0a0" stroked="f"/>
        </w:pict>
      </w:r>
    </w:p>
    <w:p w14:paraId="502080BA"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6. Technical note</w:t>
      </w:r>
    </w:p>
    <w:p w14:paraId="09F747CD"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cluster-randomized design appropriately controls confounding for the composite outcome. However, CONSORT-cluster guidelines require explicit reporting of sequence generation, allocation concealment, intraclass correlation coefficient, and loss to follow-up. Secondary outcomes (detection 93.1% vs 51.1%; bundle adherence 91.2% vs 19.4%) confirm intervention fidelity but are not independent efficacy endpoints.</w:t>
      </w:r>
    </w:p>
    <w:p w14:paraId="30D4A54B" w14:textId="77777777" w:rsidR="00BD5942" w:rsidRDefault="00BD5942" w:rsidP="00BD5942"/>
    <w:p w14:paraId="28A13EAF" w14:textId="77777777" w:rsidR="00BD5942" w:rsidRDefault="00BD5942" w:rsidP="00BD5942">
      <w:pPr>
        <w:pStyle w:val="ListParagraph"/>
        <w:numPr>
          <w:ilvl w:val="0"/>
          <w:numId w:val="4"/>
        </w:numPr>
      </w:pPr>
      <w:r>
        <w:t>Phase 3 Trial of Sotatercept for Treatment of Pulmonary Arterial Hypertension</w:t>
      </w:r>
    </w:p>
    <w:p w14:paraId="43EC8C08" w14:textId="77777777" w:rsidR="00204C63" w:rsidRPr="00204C63" w:rsidRDefault="00204C63" w:rsidP="00204C63">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204C63">
        <w:rPr>
          <w:rFonts w:ascii="Inter" w:eastAsia="Times New Roman" w:hAnsi="Inter" w:cs="Times New Roman"/>
          <w:color w:val="0B3D91"/>
          <w:kern w:val="36"/>
          <w:sz w:val="48"/>
          <w:szCs w:val="48"/>
          <w14:ligatures w14:val="none"/>
        </w:rPr>
        <w:lastRenderedPageBreak/>
        <w:t>Claim Review Summary</w:t>
      </w:r>
    </w:p>
    <w:p w14:paraId="64C4E885"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1. Verdict</w:t>
      </w:r>
    </w:p>
    <w:p w14:paraId="71191972"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Supported</w:t>
      </w:r>
    </w:p>
    <w:p w14:paraId="6AF2102A"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2. Main problem</w:t>
      </w:r>
    </w:p>
    <w:p w14:paraId="63630EB8"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excerpt reports a well-designed randomized controlled trial with a pre-specified primary endpoint and effect estimate supported by a confidence interval and p-value. However, nine secondary endpoints were tested hierarchically without explicit description of the multiplicity adjustment procedure (alpha-spending function, stopping rules), making it difficult to verify whether the eight significant secondary findings are appropriately controlled for false positives.</w:t>
      </w:r>
    </w:p>
    <w:p w14:paraId="6A38A599"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3. Why this matters</w:t>
      </w:r>
    </w:p>
    <w:p w14:paraId="1A35C8FC" w14:textId="77777777" w:rsidR="00204C63" w:rsidRPr="00204C63" w:rsidRDefault="00204C63" w:rsidP="00204C63">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Testing multiple outcomes without transparent correction increases the chance of false-positive claims; the statement “first eight secondary endpoints were significantly improved” requires confirmation that this reflects a pre-specified hierarchy, not post-hoc selection.</w:t>
      </w:r>
    </w:p>
    <w:p w14:paraId="1C6C1C54" w14:textId="77777777" w:rsidR="00204C63" w:rsidRPr="00204C63" w:rsidRDefault="00204C63" w:rsidP="00204C63">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primary claim (sotatercept improves 6-minute walk distance) is directly supported by the RCT design and reported effect estimate; secondary endpoint overclaiming would not invalidate the primary finding but could mislead about the full benefit profile.</w:t>
      </w:r>
    </w:p>
    <w:p w14:paraId="7A877F81" w14:textId="77777777" w:rsidR="00204C63" w:rsidRPr="00204C63" w:rsidRDefault="00204C63" w:rsidP="00204C63">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Readers cannot verify multiplicity control from the excerpt alone, so confidence in secondary endpoint interpretation depends on checking the full Methods section.</w:t>
      </w:r>
    </w:p>
    <w:p w14:paraId="3B337286"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4. Safer wording</w:t>
      </w:r>
    </w:p>
    <w:p w14:paraId="3FBD3F7E"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In adults with pulmonary arterial hypertension on stable background therapy, sotatercept improved 6-minute walk distance at 24 weeks by approximately 41 m more than placebo (95% CI 27.5–54.1; p&lt;0.001); eight of nine pre-specified secondary endpoints also favored sotatercept, subject to confirmation of the hierarchical testing procedure used.</w:t>
      </w:r>
    </w:p>
    <w:p w14:paraId="5A39A32F"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5. What to check</w:t>
      </w:r>
    </w:p>
    <w:p w14:paraId="703616D1" w14:textId="77777777" w:rsidR="00204C63" w:rsidRPr="00204C63" w:rsidRDefault="00204C63" w:rsidP="00204C63">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Full Methods:</w:t>
      </w:r>
      <w:r w:rsidRPr="00204C63">
        <w:rPr>
          <w:rFonts w:ascii="Inter" w:eastAsia="Times New Roman" w:hAnsi="Inter" w:cs="Times New Roman"/>
          <w:color w:val="1F2D3D"/>
          <w:kern w:val="0"/>
          <w14:ligatures w14:val="none"/>
        </w:rPr>
        <w:t> Specify the exact hierarchical closure procedure (alpha-spending function, stopping rules, adjusted p-values for each secondary endpoint).</w:t>
      </w:r>
    </w:p>
    <w:p w14:paraId="66163A79" w14:textId="77777777" w:rsidR="00204C63" w:rsidRPr="00204C63" w:rsidRDefault="00204C63" w:rsidP="00204C63">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Baseline characteristics &amp; flow:</w:t>
      </w:r>
      <w:r w:rsidRPr="00204C63">
        <w:rPr>
          <w:rFonts w:ascii="Inter" w:eastAsia="Times New Roman" w:hAnsi="Inter" w:cs="Times New Roman"/>
          <w:color w:val="1F2D3D"/>
          <w:kern w:val="0"/>
          <w14:ligatures w14:val="none"/>
        </w:rPr>
        <w:t> Verify randomization credibility by checking demographic balance, withdrawal/discontinuation rates by arm, and reasons for loss to follow-up.</w:t>
      </w:r>
    </w:p>
    <w:p w14:paraId="7DCE1908" w14:textId="77777777" w:rsidR="00204C63" w:rsidRPr="00204C63" w:rsidRDefault="00204C63" w:rsidP="00204C63">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lastRenderedPageBreak/>
        <w:t>Safety reporting:</w:t>
      </w:r>
      <w:r w:rsidRPr="00204C63">
        <w:rPr>
          <w:rFonts w:ascii="Inter" w:eastAsia="Times New Roman" w:hAnsi="Inter" w:cs="Times New Roman"/>
          <w:color w:val="1F2D3D"/>
          <w:kern w:val="0"/>
          <w14:ligatures w14:val="none"/>
        </w:rPr>
        <w:t> Replace qualitative language (“more frequently”) with actual incidence rates (%) and confidence intervals for each reported adverse event in both arms.</w:t>
      </w:r>
    </w:p>
    <w:p w14:paraId="66A34961"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6. Technical note</w:t>
      </w:r>
    </w:p>
    <w:p w14:paraId="214309A6"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This is an abstract-level RCT summary meeting good-practice standards for primary outcome reporting (design, sample size, effect estimate, 95% CI, p-value). The main gap is lack of detail on hierarchical multiplicity control, which should be verified in the full statistical analysis plan or Methods section (Makin &amp; Orban de Xivry 2019). Baseline balance and loss-to-follow-up data are expected in full-paper Tables 1 and the CONSORT flow diagram.</w:t>
      </w:r>
    </w:p>
    <w:p w14:paraId="2368D191" w14:textId="77777777" w:rsidR="006B01E0" w:rsidRDefault="006B01E0" w:rsidP="006B01E0"/>
    <w:p w14:paraId="415C0CD7" w14:textId="77777777" w:rsidR="00BD5942" w:rsidRDefault="00BD5942" w:rsidP="00BD5942">
      <w:pPr>
        <w:pStyle w:val="ListParagraph"/>
        <w:numPr>
          <w:ilvl w:val="0"/>
          <w:numId w:val="4"/>
        </w:numPr>
      </w:pPr>
      <w:r>
        <w:t>Cardiovascular and renal Outcomes with Empagliflozin in Heart Failure</w:t>
      </w:r>
    </w:p>
    <w:p w14:paraId="7F48ACED" w14:textId="77777777" w:rsidR="00204C63" w:rsidRPr="00204C63" w:rsidRDefault="00204C63" w:rsidP="00204C63">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204C63">
        <w:rPr>
          <w:rFonts w:ascii="Inter" w:eastAsia="Times New Roman" w:hAnsi="Inter" w:cs="Times New Roman"/>
          <w:color w:val="0B3D91"/>
          <w:kern w:val="36"/>
          <w:sz w:val="48"/>
          <w:szCs w:val="48"/>
          <w14:ligatures w14:val="none"/>
        </w:rPr>
        <w:t>Claim Review Summary</w:t>
      </w:r>
    </w:p>
    <w:p w14:paraId="221EEB19"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1. Verdict</w:t>
      </w:r>
    </w:p>
    <w:p w14:paraId="172DE03F"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Questionable</w:t>
      </w:r>
    </w:p>
    <w:p w14:paraId="56009346"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2. Main problem</w:t>
      </w:r>
    </w:p>
    <w:p w14:paraId="6F1EBBB8"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abstract claims empagliflozin reduced “cardiovascular death or hospitalization for heart failure” and that effects were “consistent regardless of diabetes,” but does not break down whether the benefit comes from mortality reduction, hospitalization reduction, or both. Additionally, the subgroup claim lacks statistical support—no interaction p-value or subgroup-specific confidence intervals are provided. This allows the abstract to create a stronger impression of benefit than the data transparently support.</w:t>
      </w:r>
    </w:p>
    <w:p w14:paraId="09147324"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3. Why this matters</w:t>
      </w:r>
    </w:p>
    <w:p w14:paraId="7091D1C4" w14:textId="77777777" w:rsidR="00204C63" w:rsidRPr="00204C63" w:rsidRDefault="00204C63" w:rsidP="00204C63">
      <w:pPr>
        <w:numPr>
          <w:ilvl w:val="0"/>
          <w:numId w:val="2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Composite outcome obscures mechanism:</w:t>
      </w:r>
      <w:r w:rsidRPr="00204C63">
        <w:rPr>
          <w:rFonts w:ascii="Inter" w:eastAsia="Times New Roman" w:hAnsi="Inter" w:cs="Times New Roman"/>
          <w:color w:val="1F2D3D"/>
          <w:kern w:val="0"/>
          <w14:ligatures w14:val="none"/>
        </w:rPr>
        <w:t> Primary outcome combines a rare event (cardiovascular death) with a more common one (hospitalization); the 25% relative risk reduction (HR 0.75) could be driven entirely by reducing hospitalizations while having no effect on mortality—readers cannot tell from the abstract.</w:t>
      </w:r>
    </w:p>
    <w:p w14:paraId="2529340E" w14:textId="77777777" w:rsidR="00204C63" w:rsidRPr="00204C63" w:rsidRDefault="00204C63" w:rsidP="00204C63">
      <w:pPr>
        <w:numPr>
          <w:ilvl w:val="0"/>
          <w:numId w:val="2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Subgroup consistency unverified:</w:t>
      </w:r>
      <w:r w:rsidRPr="00204C63">
        <w:rPr>
          <w:rFonts w:ascii="Inter" w:eastAsia="Times New Roman" w:hAnsi="Inter" w:cs="Times New Roman"/>
          <w:color w:val="1F2D3D"/>
          <w:kern w:val="0"/>
          <w14:ligatures w14:val="none"/>
        </w:rPr>
        <w:t> Stating effects are “consistent regardless of diabetes” without reporting the interaction p-value or subgroup-specific hazard ratios is an unsupported claim; apparent homogeneity may reflect low statistical power to detect differences rather than true effect uniformity.</w:t>
      </w:r>
    </w:p>
    <w:p w14:paraId="38BECD7C" w14:textId="77777777" w:rsidR="00204C63" w:rsidRPr="00204C63" w:rsidRDefault="00204C63" w:rsidP="00204C63">
      <w:pPr>
        <w:numPr>
          <w:ilvl w:val="0"/>
          <w:numId w:val="2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lastRenderedPageBreak/>
        <w:t>Modest absolute benefit understated:</w:t>
      </w:r>
      <w:r w:rsidRPr="00204C63">
        <w:rPr>
          <w:rFonts w:ascii="Inter" w:eastAsia="Times New Roman" w:hAnsi="Inter" w:cs="Times New Roman"/>
          <w:color w:val="1F2D3D"/>
          <w:kern w:val="0"/>
          <w14:ligatures w14:val="none"/>
        </w:rPr>
        <w:t> The absolute risk reduction is only 5.3 percentage points (24.7% − 19.4%) over 16 months. Relative language (25% reduction) emphasizes magnitude without context, potentially overstating clinical importance.</w:t>
      </w:r>
    </w:p>
    <w:p w14:paraId="0ADDE411"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4. Safer wording</w:t>
      </w:r>
    </w:p>
    <w:p w14:paraId="7D8327BB"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Among patients with heart failure and reduced ejection fraction receiving recommended therapy, empagliflozin reduced a composite outcome of cardiovascular death or hospitalization for worsening heart failure compared to placebo (HR 0.75; 95% CI: 0.65–0.86; p&lt;0.001; absolute risk reduction 5.3 percentage points over 16 months), though the contribution of mortality versus hospitalization reduction is not specified and subgroup effects by diabetes status require confirmation.</w:t>
      </w:r>
    </w:p>
    <w:p w14:paraId="2B981CAF"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5. What to check</w:t>
      </w:r>
    </w:p>
    <w:p w14:paraId="059120B2" w14:textId="77777777" w:rsidR="00204C63" w:rsidRPr="00204C63" w:rsidRDefault="00204C63" w:rsidP="00204C63">
      <w:pPr>
        <w:numPr>
          <w:ilvl w:val="0"/>
          <w:numId w:val="2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Component breakdown:</w:t>
      </w:r>
      <w:r w:rsidRPr="00204C63">
        <w:rPr>
          <w:rFonts w:ascii="Inter" w:eastAsia="Times New Roman" w:hAnsi="Inter" w:cs="Times New Roman"/>
          <w:color w:val="1F2D3D"/>
          <w:kern w:val="0"/>
          <w14:ligatures w14:val="none"/>
        </w:rPr>
        <w:t> Report separate hazard ratios with 95% CIs for cardiovascular death and hospitalization for heart failure to clarify which drives the benefit.</w:t>
      </w:r>
    </w:p>
    <w:p w14:paraId="2BA00C34" w14:textId="77777777" w:rsidR="00204C63" w:rsidRPr="00204C63" w:rsidRDefault="00204C63" w:rsidP="00204C63">
      <w:pPr>
        <w:numPr>
          <w:ilvl w:val="0"/>
          <w:numId w:val="2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Diabetes subgroup analysis:</w:t>
      </w:r>
      <w:r w:rsidRPr="00204C63">
        <w:rPr>
          <w:rFonts w:ascii="Inter" w:eastAsia="Times New Roman" w:hAnsi="Inter" w:cs="Times New Roman"/>
          <w:color w:val="1F2D3D"/>
          <w:kern w:val="0"/>
          <w14:ligatures w14:val="none"/>
        </w:rPr>
        <w:t> Provide the treatment-by-diabetes interaction p-value and subgroup-specific hazard ratios with 95% CIs; confirm whether this analysis was pre-specified.</w:t>
      </w:r>
    </w:p>
    <w:p w14:paraId="360101EE" w14:textId="77777777" w:rsidR="00204C63" w:rsidRPr="00204C63" w:rsidRDefault="00204C63" w:rsidP="00204C63">
      <w:pPr>
        <w:numPr>
          <w:ilvl w:val="0"/>
          <w:numId w:val="2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Secondary endpoints multiplicity:</w:t>
      </w:r>
      <w:r w:rsidRPr="00204C63">
        <w:rPr>
          <w:rFonts w:ascii="Inter" w:eastAsia="Times New Roman" w:hAnsi="Inter" w:cs="Times New Roman"/>
          <w:color w:val="1F2D3D"/>
          <w:kern w:val="0"/>
          <w14:ligatures w14:val="none"/>
        </w:rPr>
        <w:t> Clarify whether the four secondary outcomes (HF hospitalization, eGFR decline, renal outcomes, genital infection) were pre-specified and whether multiplicity adjustment was applied.</w:t>
      </w:r>
    </w:p>
    <w:p w14:paraId="5FB3D589"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6. Technical note</w:t>
      </w:r>
    </w:p>
    <w:p w14:paraId="1113CCF4"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composite outcome design is common in cardiology but requires transparency about component contributions. Per CONSORT guidelines, baseline characteristics should be reported to verify randomization; a 5.3 percentage-point absolute benefit over 16 months is clinically meaningful but modest. Subgroup claims demand pre-specification and interaction testing; apparent consistency without statistical support risks overgeneralization.</w:t>
      </w:r>
    </w:p>
    <w:p w14:paraId="39CE1FEC" w14:textId="77777777" w:rsidR="00BD5942" w:rsidRDefault="00BD5942" w:rsidP="00BD5942"/>
    <w:p w14:paraId="4E2818EF" w14:textId="1C070012" w:rsidR="00BD5942" w:rsidRPr="00BD5942" w:rsidRDefault="00BD5942" w:rsidP="00BD5942">
      <w:pPr>
        <w:pStyle w:val="ListParagraph"/>
        <w:numPr>
          <w:ilvl w:val="0"/>
          <w:numId w:val="4"/>
        </w:numPr>
      </w:pPr>
      <w:r>
        <w:t>Polatuzumab Vedotin in Previously Untreated Diffuse Large B-Cell Lymphoma</w:t>
      </w:r>
    </w:p>
    <w:p w14:paraId="0FD98F43" w14:textId="77777777" w:rsidR="00204C63" w:rsidRPr="00204C63" w:rsidRDefault="00204C63" w:rsidP="00204C63">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204C63">
        <w:rPr>
          <w:rFonts w:ascii="Inter" w:eastAsia="Times New Roman" w:hAnsi="Inter" w:cs="Times New Roman"/>
          <w:color w:val="0B3D91"/>
          <w:kern w:val="36"/>
          <w:sz w:val="48"/>
          <w:szCs w:val="48"/>
          <w14:ligatures w14:val="none"/>
        </w:rPr>
        <w:t>Claim Review Summary</w:t>
      </w:r>
    </w:p>
    <w:p w14:paraId="2859B251"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1. Verdict</w:t>
      </w:r>
    </w:p>
    <w:p w14:paraId="141A9104"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lastRenderedPageBreak/>
        <w:t>Questionable</w:t>
      </w:r>
    </w:p>
    <w:p w14:paraId="5A39F3C9"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2. Main problem</w:t>
      </w:r>
    </w:p>
    <w:p w14:paraId="7C4A3BBC"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abstract emphasizes progression-free survival benefit (HR 0.73, p=0.02) while omitting that overall survival—the gold standard in oncology—showed no difference (HR 0.94, p=0.75 with nearly identical 2-year rates: 88.7% vs. 88.6%). This endpoint discordance fundamentally limits claims about clinical benefit, yet is absent from the stated conclusion. Additionally, the PFS confidence interval (0.57–0.95) is wide and barely excludes 1.0, masking substantial uncertainty about the true effect magnitude.</w:t>
      </w:r>
    </w:p>
    <w:p w14:paraId="46E293B5"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3. Why this matters</w:t>
      </w:r>
    </w:p>
    <w:p w14:paraId="7D495CB1" w14:textId="77777777" w:rsidR="00204C63" w:rsidRPr="00204C63" w:rsidRDefault="00204C63" w:rsidP="00204C63">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Clinical priority:</w:t>
      </w:r>
      <w:r w:rsidRPr="00204C63">
        <w:rPr>
          <w:rFonts w:ascii="Inter" w:eastAsia="Times New Roman" w:hAnsi="Inter" w:cs="Times New Roman"/>
          <w:color w:val="1F2D3D"/>
          <w:kern w:val="0"/>
          <w14:ligatures w14:val="none"/>
        </w:rPr>
        <w:t> In cancer trials, overall survival improvement is the gold standard for demonstrating patient benefit. A PFS gain without OS improvement raises questions about durability and whether the benefit reflects true disease modification or measurement artifact.</w:t>
      </w:r>
    </w:p>
    <w:p w14:paraId="0275FF9F" w14:textId="77777777" w:rsidR="00204C63" w:rsidRPr="00204C63" w:rsidRDefault="00204C63" w:rsidP="00204C63">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Uncertainty underreported:</w:t>
      </w:r>
      <w:r w:rsidRPr="00204C63">
        <w:rPr>
          <w:rFonts w:ascii="Inter" w:eastAsia="Times New Roman" w:hAnsi="Inter" w:cs="Times New Roman"/>
          <w:color w:val="1F2D3D"/>
          <w:kern w:val="0"/>
          <w14:ligatures w14:val="none"/>
        </w:rPr>
        <w:t> The CI width (0.57–0.95) indicates the true hazard could be modest (0.95, near null) or larger (0.57). The conclusion masks this imprecision by stating significance without discussing the range.</w:t>
      </w:r>
    </w:p>
    <w:p w14:paraId="03DC19E8" w14:textId="77777777" w:rsidR="00204C63" w:rsidRPr="00204C63" w:rsidRDefault="00204C63" w:rsidP="00204C63">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Selective emphasis:</w:t>
      </w:r>
      <w:r w:rsidRPr="00204C63">
        <w:rPr>
          <w:rFonts w:ascii="Inter" w:eastAsia="Times New Roman" w:hAnsi="Inter" w:cs="Times New Roman"/>
          <w:color w:val="1F2D3D"/>
          <w:kern w:val="0"/>
          <w14:ligatures w14:val="none"/>
        </w:rPr>
        <w:t> Highlighting only the significant primary endpoint while omitting the null secondary endpoint (OS) creates an incomplete and potentially misleading picture of efficacy.</w:t>
      </w:r>
    </w:p>
    <w:p w14:paraId="2DDA9407"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4. Safer wording</w:t>
      </w:r>
    </w:p>
    <w:p w14:paraId="356DAA9A"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Among patients with previously untreated intermediate-risk or high-risk DLBCL, pola-R-CHP reduced the risk of progression, relapse, or death compared to R-CHOP (HR 0.73; 95% CI: 0.57–0.95; p=0.02) at 2 years, but did not improve overall survival (HR 0.94; 95% CI: 0.65–1.37; p=0.75).</w:t>
      </w:r>
    </w:p>
    <w:p w14:paraId="4B36B4E1"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t>5. What to check</w:t>
      </w:r>
    </w:p>
    <w:p w14:paraId="0CC5FAE7" w14:textId="77777777" w:rsidR="00204C63" w:rsidRPr="00204C63" w:rsidRDefault="00204C63" w:rsidP="00204C63">
      <w:pPr>
        <w:numPr>
          <w:ilvl w:val="0"/>
          <w:numId w:val="2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OS maturity and discordance explanation:</w:t>
      </w:r>
      <w:r w:rsidRPr="00204C63">
        <w:rPr>
          <w:rFonts w:ascii="Inter" w:eastAsia="Times New Roman" w:hAnsi="Inter" w:cs="Times New Roman"/>
          <w:color w:val="1F2D3D"/>
          <w:kern w:val="0"/>
          <w14:ligatures w14:val="none"/>
        </w:rPr>
        <w:t> How many overall survival events occurred? Is OS follow-up complete? Explain mechanistically why PFS improved without OS benefit—does salvage therapy or later treatment use confound the benefit?</w:t>
      </w:r>
    </w:p>
    <w:p w14:paraId="22371742" w14:textId="77777777" w:rsidR="00204C63" w:rsidRPr="00204C63" w:rsidRDefault="00204C63" w:rsidP="00204C63">
      <w:pPr>
        <w:numPr>
          <w:ilvl w:val="0"/>
          <w:numId w:val="2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Baseline characteristics and stratification variables:</w:t>
      </w:r>
      <w:r w:rsidRPr="00204C63">
        <w:rPr>
          <w:rFonts w:ascii="Inter" w:eastAsia="Times New Roman" w:hAnsi="Inter" w:cs="Times New Roman"/>
          <w:color w:val="1F2D3D"/>
          <w:kern w:val="0"/>
          <w14:ligatures w14:val="none"/>
        </w:rPr>
        <w:t> Provide baseline table by arm confirming randomization balance; identify which variables were used for stratification in the Cox model.</w:t>
      </w:r>
    </w:p>
    <w:p w14:paraId="36840051" w14:textId="77777777" w:rsidR="00204C63" w:rsidRPr="00204C63" w:rsidRDefault="00204C63" w:rsidP="00204C63">
      <w:pPr>
        <w:numPr>
          <w:ilvl w:val="0"/>
          <w:numId w:val="2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b/>
          <w:bCs/>
          <w:color w:val="1F2D3D"/>
          <w:kern w:val="0"/>
          <w14:ligatures w14:val="none"/>
        </w:rPr>
        <w:t>Multiplicity adjustment:</w:t>
      </w:r>
      <w:r w:rsidRPr="00204C63">
        <w:rPr>
          <w:rFonts w:ascii="Inter" w:eastAsia="Times New Roman" w:hAnsi="Inter" w:cs="Times New Roman"/>
          <w:color w:val="1F2D3D"/>
          <w:kern w:val="0"/>
          <w14:ligatures w14:val="none"/>
        </w:rPr>
        <w:t> Explicitly state whether PFS and OS were both pre-specified primary endpoints or if a hierarchical testing procedure (e.g., testing OS only if PFS succeeded) was pre-planned. If two endpoints were tested, how was multiplicity controlled?</w:t>
      </w:r>
    </w:p>
    <w:p w14:paraId="010CE5E4" w14:textId="77777777" w:rsidR="00204C63" w:rsidRPr="00204C63" w:rsidRDefault="00204C63" w:rsidP="00204C63">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04C63">
        <w:rPr>
          <w:rFonts w:ascii="Inter" w:eastAsia="Times New Roman" w:hAnsi="Inter" w:cs="Times New Roman"/>
          <w:color w:val="0B3D91"/>
          <w:kern w:val="0"/>
          <w:sz w:val="36"/>
          <w:szCs w:val="36"/>
          <w14:ligatures w14:val="none"/>
        </w:rPr>
        <w:lastRenderedPageBreak/>
        <w:t>6. Technical note</w:t>
      </w:r>
    </w:p>
    <w:p w14:paraId="66DC13B9" w14:textId="77777777" w:rsidR="00204C63" w:rsidRPr="00204C63" w:rsidRDefault="00204C63" w:rsidP="00204C63">
      <w:pPr>
        <w:shd w:val="clear" w:color="auto" w:fill="FFFFFF"/>
        <w:spacing w:after="100" w:afterAutospacing="1" w:line="240" w:lineRule="auto"/>
        <w:rPr>
          <w:rFonts w:ascii="Inter" w:eastAsia="Times New Roman" w:hAnsi="Inter" w:cs="Times New Roman"/>
          <w:color w:val="1F2D3D"/>
          <w:kern w:val="0"/>
          <w14:ligatures w14:val="none"/>
        </w:rPr>
      </w:pPr>
      <w:r w:rsidRPr="00204C63">
        <w:rPr>
          <w:rFonts w:ascii="Inter" w:eastAsia="Times New Roman" w:hAnsi="Inter" w:cs="Times New Roman"/>
          <w:color w:val="1F2D3D"/>
          <w:kern w:val="0"/>
          <w14:ligatures w14:val="none"/>
        </w:rPr>
        <w:t>The PFS-OS discordance is clinically important and should be central to the abstract, not omitted. Per CONSORT guidance and oncology trial standards, OS is the primary outcome of interest; PFS is often a surrogate. Wide CIs indicate imprecision; the lower bound (HR 0.95) and p=0.02 signal borderline statistical significance. Full baseline table, Kaplan–Meier curves, and detailed OS maturity assessment required for complete evaluation.</w:t>
      </w:r>
    </w:p>
    <w:p w14:paraId="3936DEB9" w14:textId="77777777" w:rsidR="00E82D73" w:rsidRDefault="00E82D73">
      <w:pPr>
        <w:rPr>
          <w:rFonts w:hint="eastAsia"/>
        </w:rPr>
      </w:pPr>
    </w:p>
    <w:sectPr w:rsidR="00E82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367"/>
    <w:multiLevelType w:val="hybridMultilevel"/>
    <w:tmpl w:val="70CA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F7FF8"/>
    <w:multiLevelType w:val="multilevel"/>
    <w:tmpl w:val="2EFE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F0594"/>
    <w:multiLevelType w:val="multilevel"/>
    <w:tmpl w:val="807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7583E"/>
    <w:multiLevelType w:val="hybridMultilevel"/>
    <w:tmpl w:val="1648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A34EE5"/>
    <w:multiLevelType w:val="multilevel"/>
    <w:tmpl w:val="F580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439BB"/>
    <w:multiLevelType w:val="multilevel"/>
    <w:tmpl w:val="000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A1A99"/>
    <w:multiLevelType w:val="multilevel"/>
    <w:tmpl w:val="3B6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B5EFF"/>
    <w:multiLevelType w:val="multilevel"/>
    <w:tmpl w:val="6676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475DB"/>
    <w:multiLevelType w:val="multilevel"/>
    <w:tmpl w:val="2C0E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C3540E"/>
    <w:multiLevelType w:val="multilevel"/>
    <w:tmpl w:val="CB36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40651"/>
    <w:multiLevelType w:val="multilevel"/>
    <w:tmpl w:val="EF8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8445C"/>
    <w:multiLevelType w:val="multilevel"/>
    <w:tmpl w:val="5BA2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F16D2E"/>
    <w:multiLevelType w:val="multilevel"/>
    <w:tmpl w:val="A9F0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65591A"/>
    <w:multiLevelType w:val="multilevel"/>
    <w:tmpl w:val="209A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8254C8"/>
    <w:multiLevelType w:val="multilevel"/>
    <w:tmpl w:val="8C76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410A0E"/>
    <w:multiLevelType w:val="multilevel"/>
    <w:tmpl w:val="F608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C61DF"/>
    <w:multiLevelType w:val="multilevel"/>
    <w:tmpl w:val="FB0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05D46"/>
    <w:multiLevelType w:val="multilevel"/>
    <w:tmpl w:val="141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7496A"/>
    <w:multiLevelType w:val="multilevel"/>
    <w:tmpl w:val="7CA8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252B23"/>
    <w:multiLevelType w:val="multilevel"/>
    <w:tmpl w:val="361E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2D512A"/>
    <w:multiLevelType w:val="multilevel"/>
    <w:tmpl w:val="EE48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836D5B"/>
    <w:multiLevelType w:val="multilevel"/>
    <w:tmpl w:val="F172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F145F9"/>
    <w:multiLevelType w:val="multilevel"/>
    <w:tmpl w:val="5DD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25907"/>
    <w:multiLevelType w:val="multilevel"/>
    <w:tmpl w:val="6E3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72478"/>
    <w:multiLevelType w:val="multilevel"/>
    <w:tmpl w:val="AA9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55D5E"/>
    <w:multiLevelType w:val="multilevel"/>
    <w:tmpl w:val="6BD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A1476"/>
    <w:multiLevelType w:val="hybridMultilevel"/>
    <w:tmpl w:val="0E3E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D744FD"/>
    <w:multiLevelType w:val="multilevel"/>
    <w:tmpl w:val="C77E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3304F"/>
    <w:multiLevelType w:val="multilevel"/>
    <w:tmpl w:val="204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43574"/>
    <w:multiLevelType w:val="multilevel"/>
    <w:tmpl w:val="A13A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055DAC"/>
    <w:multiLevelType w:val="multilevel"/>
    <w:tmpl w:val="BFBC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704496">
    <w:abstractNumId w:val="3"/>
  </w:num>
  <w:num w:numId="2" w16cid:durableId="1593973362">
    <w:abstractNumId w:val="27"/>
  </w:num>
  <w:num w:numId="3" w16cid:durableId="1074082187">
    <w:abstractNumId w:val="13"/>
  </w:num>
  <w:num w:numId="4" w16cid:durableId="1973974624">
    <w:abstractNumId w:val="0"/>
  </w:num>
  <w:num w:numId="5" w16cid:durableId="804546524">
    <w:abstractNumId w:val="30"/>
  </w:num>
  <w:num w:numId="6" w16cid:durableId="1740979419">
    <w:abstractNumId w:val="8"/>
  </w:num>
  <w:num w:numId="7" w16cid:durableId="265188155">
    <w:abstractNumId w:val="26"/>
  </w:num>
  <w:num w:numId="8" w16cid:durableId="1319187123">
    <w:abstractNumId w:val="25"/>
  </w:num>
  <w:num w:numId="9" w16cid:durableId="1688828013">
    <w:abstractNumId w:val="11"/>
  </w:num>
  <w:num w:numId="10" w16cid:durableId="2073117194">
    <w:abstractNumId w:val="16"/>
  </w:num>
  <w:num w:numId="11" w16cid:durableId="1284462889">
    <w:abstractNumId w:val="15"/>
  </w:num>
  <w:num w:numId="12" w16cid:durableId="1034891714">
    <w:abstractNumId w:val="24"/>
  </w:num>
  <w:num w:numId="13" w16cid:durableId="3437566">
    <w:abstractNumId w:val="2"/>
  </w:num>
  <w:num w:numId="14" w16cid:durableId="645477812">
    <w:abstractNumId w:val="28"/>
  </w:num>
  <w:num w:numId="15" w16cid:durableId="104346714">
    <w:abstractNumId w:val="29"/>
  </w:num>
  <w:num w:numId="16" w16cid:durableId="989792184">
    <w:abstractNumId w:val="9"/>
  </w:num>
  <w:num w:numId="17" w16cid:durableId="473563334">
    <w:abstractNumId w:val="14"/>
  </w:num>
  <w:num w:numId="18" w16cid:durableId="1817526988">
    <w:abstractNumId w:val="22"/>
  </w:num>
  <w:num w:numId="19" w16cid:durableId="972097869">
    <w:abstractNumId w:val="20"/>
  </w:num>
  <w:num w:numId="20" w16cid:durableId="1793402229">
    <w:abstractNumId w:val="10"/>
  </w:num>
  <w:num w:numId="21" w16cid:durableId="1188258035">
    <w:abstractNumId w:val="7"/>
  </w:num>
  <w:num w:numId="22" w16cid:durableId="564490970">
    <w:abstractNumId w:val="23"/>
  </w:num>
  <w:num w:numId="23" w16cid:durableId="804587676">
    <w:abstractNumId w:val="21"/>
  </w:num>
  <w:num w:numId="24" w16cid:durableId="60560443">
    <w:abstractNumId w:val="4"/>
  </w:num>
  <w:num w:numId="25" w16cid:durableId="2053462418">
    <w:abstractNumId w:val="18"/>
  </w:num>
  <w:num w:numId="26" w16cid:durableId="763065241">
    <w:abstractNumId w:val="5"/>
  </w:num>
  <w:num w:numId="27" w16cid:durableId="555169696">
    <w:abstractNumId w:val="1"/>
  </w:num>
  <w:num w:numId="28" w16cid:durableId="919564647">
    <w:abstractNumId w:val="17"/>
  </w:num>
  <w:num w:numId="29" w16cid:durableId="420107105">
    <w:abstractNumId w:val="19"/>
  </w:num>
  <w:num w:numId="30" w16cid:durableId="1199120347">
    <w:abstractNumId w:val="6"/>
  </w:num>
  <w:num w:numId="31" w16cid:durableId="19177852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CE"/>
    <w:rsid w:val="00204C63"/>
    <w:rsid w:val="0057778E"/>
    <w:rsid w:val="006B01E0"/>
    <w:rsid w:val="00AC2C91"/>
    <w:rsid w:val="00BD5942"/>
    <w:rsid w:val="00D33AE2"/>
    <w:rsid w:val="00E82D73"/>
    <w:rsid w:val="00EB533E"/>
    <w:rsid w:val="00FA39CE"/>
    <w:rsid w:val="00FC33DB"/>
    <w:rsid w:val="00FE6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09CB"/>
  <w15:chartTrackingRefBased/>
  <w15:docId w15:val="{3C1F2075-432D-A24A-B05F-F5F58584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9CE"/>
  </w:style>
  <w:style w:type="paragraph" w:styleId="Heading1">
    <w:name w:val="heading 1"/>
    <w:basedOn w:val="Normal"/>
    <w:next w:val="Normal"/>
    <w:link w:val="Heading1Char"/>
    <w:uiPriority w:val="9"/>
    <w:qFormat/>
    <w:rsid w:val="00FA3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3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3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CE"/>
    <w:rPr>
      <w:rFonts w:eastAsiaTheme="majorEastAsia" w:cstheme="majorBidi"/>
      <w:color w:val="272727" w:themeColor="text1" w:themeTint="D8"/>
    </w:rPr>
  </w:style>
  <w:style w:type="paragraph" w:styleId="Title">
    <w:name w:val="Title"/>
    <w:basedOn w:val="Normal"/>
    <w:next w:val="Normal"/>
    <w:link w:val="TitleChar"/>
    <w:uiPriority w:val="10"/>
    <w:qFormat/>
    <w:rsid w:val="00FA3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CE"/>
    <w:pPr>
      <w:spacing w:before="160"/>
      <w:jc w:val="center"/>
    </w:pPr>
    <w:rPr>
      <w:i/>
      <w:iCs/>
      <w:color w:val="404040" w:themeColor="text1" w:themeTint="BF"/>
    </w:rPr>
  </w:style>
  <w:style w:type="character" w:customStyle="1" w:styleId="QuoteChar">
    <w:name w:val="Quote Char"/>
    <w:basedOn w:val="DefaultParagraphFont"/>
    <w:link w:val="Quote"/>
    <w:uiPriority w:val="29"/>
    <w:rsid w:val="00FA39CE"/>
    <w:rPr>
      <w:i/>
      <w:iCs/>
      <w:color w:val="404040" w:themeColor="text1" w:themeTint="BF"/>
    </w:rPr>
  </w:style>
  <w:style w:type="paragraph" w:styleId="ListParagraph">
    <w:name w:val="List Paragraph"/>
    <w:basedOn w:val="Normal"/>
    <w:uiPriority w:val="34"/>
    <w:qFormat/>
    <w:rsid w:val="00FA39CE"/>
    <w:pPr>
      <w:ind w:left="720"/>
      <w:contextualSpacing/>
    </w:pPr>
  </w:style>
  <w:style w:type="character" w:styleId="IntenseEmphasis">
    <w:name w:val="Intense Emphasis"/>
    <w:basedOn w:val="DefaultParagraphFont"/>
    <w:uiPriority w:val="21"/>
    <w:qFormat/>
    <w:rsid w:val="00FA39CE"/>
    <w:rPr>
      <w:i/>
      <w:iCs/>
      <w:color w:val="0F4761" w:themeColor="accent1" w:themeShade="BF"/>
    </w:rPr>
  </w:style>
  <w:style w:type="paragraph" w:styleId="IntenseQuote">
    <w:name w:val="Intense Quote"/>
    <w:basedOn w:val="Normal"/>
    <w:next w:val="Normal"/>
    <w:link w:val="IntenseQuoteChar"/>
    <w:uiPriority w:val="30"/>
    <w:qFormat/>
    <w:rsid w:val="00FA3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CE"/>
    <w:rPr>
      <w:i/>
      <w:iCs/>
      <w:color w:val="0F4761" w:themeColor="accent1" w:themeShade="BF"/>
    </w:rPr>
  </w:style>
  <w:style w:type="character" w:styleId="IntenseReference">
    <w:name w:val="Intense Reference"/>
    <w:basedOn w:val="DefaultParagraphFont"/>
    <w:uiPriority w:val="32"/>
    <w:qFormat/>
    <w:rsid w:val="00FA39CE"/>
    <w:rPr>
      <w:b/>
      <w:bCs/>
      <w:smallCaps/>
      <w:color w:val="0F4761" w:themeColor="accent1" w:themeShade="BF"/>
      <w:spacing w:val="5"/>
    </w:rPr>
  </w:style>
  <w:style w:type="paragraph" w:styleId="NormalWeb">
    <w:name w:val="Normal (Web)"/>
    <w:basedOn w:val="Normal"/>
    <w:uiPriority w:val="99"/>
    <w:semiHidden/>
    <w:unhideWhenUsed/>
    <w:rsid w:val="00FA39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39CE"/>
    <w:rPr>
      <w:b/>
      <w:bCs/>
    </w:rPr>
  </w:style>
  <w:style w:type="character" w:styleId="Emphasis">
    <w:name w:val="Emphasis"/>
    <w:basedOn w:val="DefaultParagraphFont"/>
    <w:uiPriority w:val="20"/>
    <w:qFormat/>
    <w:rsid w:val="00BD59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3054</Words>
  <Characters>17410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Yvonne</dc:creator>
  <cp:keywords/>
  <dc:description/>
  <cp:lastModifiedBy>Yang, Yvonne</cp:lastModifiedBy>
  <cp:revision>4</cp:revision>
  <dcterms:created xsi:type="dcterms:W3CDTF">2026-05-08T02:10:00Z</dcterms:created>
  <dcterms:modified xsi:type="dcterms:W3CDTF">2026-05-08T02:53:00Z</dcterms:modified>
</cp:coreProperties>
</file>