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BF11" w14:textId="77777777" w:rsid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cs="微软雅黑" w:hint="eastAsia"/>
          <w:color w:val="404040"/>
          <w:sz w:val="36"/>
          <w:szCs w:val="36"/>
        </w:rPr>
      </w:pPr>
    </w:p>
    <w:p w14:paraId="2D628986" w14:textId="15AD589F" w:rsidR="0086481F" w:rsidRP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cs="微软雅黑" w:hint="eastAsia"/>
          <w:color w:val="404040"/>
          <w:sz w:val="36"/>
          <w:szCs w:val="36"/>
        </w:rPr>
      </w:pPr>
      <w:r w:rsidRPr="0086481F">
        <w:rPr>
          <w:rStyle w:val="a8"/>
          <w:rFonts w:ascii="黑体" w:eastAsia="黑体" w:hAnsi="黑体" w:cs="微软雅黑" w:hint="eastAsia"/>
          <w:color w:val="404040"/>
          <w:sz w:val="36"/>
          <w:szCs w:val="36"/>
        </w:rPr>
        <w:t>SuperMap杯第二十</w:t>
      </w:r>
      <w:r w:rsidR="00C86D57">
        <w:rPr>
          <w:rStyle w:val="a8"/>
          <w:rFonts w:ascii="黑体" w:eastAsia="黑体" w:hAnsi="黑体" w:cs="微软雅黑" w:hint="eastAsia"/>
          <w:color w:val="404040"/>
          <w:sz w:val="36"/>
          <w:szCs w:val="36"/>
        </w:rPr>
        <w:t>四</w:t>
      </w:r>
      <w:r w:rsidRPr="0086481F">
        <w:rPr>
          <w:rStyle w:val="a8"/>
          <w:rFonts w:ascii="黑体" w:eastAsia="黑体" w:hAnsi="黑体" w:cs="微软雅黑" w:hint="eastAsia"/>
          <w:color w:val="404040"/>
          <w:sz w:val="36"/>
          <w:szCs w:val="36"/>
        </w:rPr>
        <w:t>届高校GIS大赛</w:t>
      </w:r>
    </w:p>
    <w:p w14:paraId="3842A894" w14:textId="7FCFAFF1" w:rsidR="0086481F" w:rsidRDefault="00DC34C4" w:rsidP="0086481F">
      <w:pPr>
        <w:pStyle w:val="a7"/>
        <w:widowControl/>
        <w:jc w:val="center"/>
        <w:rPr>
          <w:rStyle w:val="a8"/>
          <w:rFonts w:ascii="黑体" w:eastAsia="黑体" w:hAnsi="黑体" w:cs="微软雅黑" w:hint="eastAsia"/>
          <w:color w:val="000000" w:themeColor="text1"/>
          <w:sz w:val="36"/>
          <w:szCs w:val="36"/>
        </w:rPr>
      </w:pPr>
      <w:r>
        <w:rPr>
          <w:rStyle w:val="a8"/>
          <w:rFonts w:ascii="黑体" w:eastAsia="黑体" w:hAnsi="黑体" w:cs="微软雅黑" w:hint="eastAsia"/>
          <w:color w:val="000000" w:themeColor="text1"/>
          <w:sz w:val="36"/>
          <w:szCs w:val="36"/>
        </w:rPr>
        <w:t>开发</w:t>
      </w:r>
      <w:r w:rsidR="0086481F" w:rsidRPr="0086481F">
        <w:rPr>
          <w:rStyle w:val="a8"/>
          <w:rFonts w:ascii="黑体" w:eastAsia="黑体" w:hAnsi="黑体" w:cs="微软雅黑" w:hint="eastAsia"/>
          <w:color w:val="000000" w:themeColor="text1"/>
          <w:sz w:val="36"/>
          <w:szCs w:val="36"/>
        </w:rPr>
        <w:t>组</w:t>
      </w:r>
    </w:p>
    <w:p w14:paraId="3B131936" w14:textId="2A88BEFB" w:rsid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cs="微软雅黑" w:hint="eastAsia"/>
          <w:color w:val="000000" w:themeColor="text1"/>
          <w:sz w:val="36"/>
          <w:szCs w:val="36"/>
        </w:rPr>
      </w:pPr>
    </w:p>
    <w:p w14:paraId="5B1378D3" w14:textId="77777777" w:rsidR="0086481F" w:rsidRP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cs="微软雅黑" w:hint="eastAsia"/>
          <w:color w:val="000000" w:themeColor="text1"/>
          <w:sz w:val="36"/>
          <w:szCs w:val="36"/>
        </w:rPr>
      </w:pPr>
    </w:p>
    <w:p w14:paraId="65CF4D43" w14:textId="37CBB840" w:rsidR="0086481F" w:rsidRDefault="00DC34C4" w:rsidP="0086481F">
      <w:pPr>
        <w:pStyle w:val="a7"/>
        <w:widowControl/>
        <w:jc w:val="center"/>
        <w:rPr>
          <w:rStyle w:val="a8"/>
          <w:rFonts w:ascii="黑体" w:eastAsia="黑体" w:hAnsi="黑体" w:hint="eastAsia"/>
          <w:color w:val="000000" w:themeColor="text1"/>
          <w:sz w:val="72"/>
          <w:szCs w:val="72"/>
        </w:rPr>
      </w:pPr>
      <w:r>
        <w:rPr>
          <w:rStyle w:val="a8"/>
          <w:rFonts w:ascii="黑体" w:eastAsia="黑体" w:hAnsi="黑体" w:hint="eastAsia"/>
          <w:color w:val="000000" w:themeColor="text1"/>
          <w:sz w:val="72"/>
          <w:szCs w:val="72"/>
        </w:rPr>
        <w:t>项目背景说明</w:t>
      </w:r>
    </w:p>
    <w:p w14:paraId="7B8B4FFE" w14:textId="150F2819" w:rsid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hint="eastAsia"/>
          <w:color w:val="000000" w:themeColor="text1"/>
          <w:sz w:val="72"/>
          <w:szCs w:val="72"/>
        </w:rPr>
      </w:pPr>
    </w:p>
    <w:p w14:paraId="0181FAB6" w14:textId="77777777" w:rsidR="0086481F" w:rsidRPr="0086481F" w:rsidRDefault="0086481F" w:rsidP="0086481F">
      <w:pPr>
        <w:pStyle w:val="a7"/>
        <w:widowControl/>
        <w:jc w:val="center"/>
        <w:rPr>
          <w:rStyle w:val="a8"/>
          <w:rFonts w:ascii="黑体" w:eastAsia="黑体" w:hAnsi="黑体" w:hint="eastAsia"/>
          <w:color w:val="000000" w:themeColor="text1"/>
          <w:sz w:val="72"/>
          <w:szCs w:val="72"/>
        </w:rPr>
      </w:pPr>
    </w:p>
    <w:p w14:paraId="5CD3E7AB" w14:textId="77777777" w:rsidR="0086481F" w:rsidRPr="0086481F" w:rsidRDefault="0086481F" w:rsidP="0086481F">
      <w:pPr>
        <w:pStyle w:val="a7"/>
        <w:widowControl/>
        <w:rPr>
          <w:rFonts w:ascii="黑体" w:eastAsia="黑体" w:hAnsi="黑体" w:hint="eastAsia"/>
        </w:rPr>
      </w:pPr>
      <w:r w:rsidRPr="0086481F">
        <w:rPr>
          <w:rFonts w:ascii="黑体" w:eastAsia="黑体" w:hAnsi="黑体"/>
        </w:rPr>
        <w:t xml:space="preserve">　</w:t>
      </w:r>
    </w:p>
    <w:p w14:paraId="486B6D47" w14:textId="5621FE8F" w:rsidR="0086481F" w:rsidRPr="0086481F" w:rsidRDefault="0086481F" w:rsidP="0086481F">
      <w:pPr>
        <w:pStyle w:val="a7"/>
        <w:widowControl/>
        <w:ind w:firstLineChars="200" w:firstLine="600"/>
        <w:jc w:val="both"/>
        <w:rPr>
          <w:rFonts w:ascii="黑体" w:eastAsia="黑体" w:hAnsi="黑体" w:cs="黑体" w:hint="eastAsia"/>
          <w:color w:val="404040"/>
          <w:sz w:val="30"/>
          <w:szCs w:val="30"/>
        </w:rPr>
      </w:pPr>
      <w:r w:rsidRPr="0086481F">
        <w:rPr>
          <w:rFonts w:ascii="黑体" w:eastAsia="黑体" w:hAnsi="黑体" w:cs="黑体" w:hint="eastAsia"/>
          <w:color w:val="404040"/>
          <w:sz w:val="30"/>
          <w:szCs w:val="30"/>
        </w:rPr>
        <w:t>作品名称：GreenTwin 和美乡村数字孪生决策平台</w:t>
      </w:r>
      <w:r>
        <w:rPr>
          <w:rFonts w:ascii="黑体" w:eastAsia="黑体" w:hAnsi="黑体" w:cs="黑体"/>
          <w:color w:val="404040"/>
          <w:sz w:val="30"/>
          <w:szCs w:val="30"/>
        </w:rPr>
        <w:softHyphen/>
      </w:r>
      <w:r>
        <w:rPr>
          <w:rFonts w:ascii="黑体" w:eastAsia="黑体" w:hAnsi="黑体" w:cs="黑体"/>
          <w:color w:val="404040"/>
          <w:sz w:val="30"/>
          <w:szCs w:val="30"/>
        </w:rPr>
        <w:softHyphen/>
      </w:r>
      <w:r>
        <w:rPr>
          <w:rFonts w:ascii="黑体" w:eastAsia="黑体" w:hAnsi="黑体" w:cs="黑体" w:hint="eastAsia"/>
          <w:color w:val="404040"/>
          <w:sz w:val="30"/>
          <w:szCs w:val="30"/>
        </w:rPr>
        <w:t/>
      </w:r>
      <w:r>
        <w:rPr>
          <w:rFonts w:ascii="黑体" w:eastAsia="黑体" w:hAnsi="黑体" w:cs="黑体"/>
          <w:color w:val="404040"/>
          <w:sz w:val="30"/>
          <w:szCs w:val="30"/>
        </w:rPr>
        <w:t/>
      </w:r>
    </w:p>
    <w:p w14:paraId="5C4C14AF" w14:textId="777080E4" w:rsidR="0086481F" w:rsidRPr="0086481F" w:rsidRDefault="0086481F" w:rsidP="0086481F">
      <w:pPr>
        <w:pStyle w:val="a7"/>
        <w:widowControl/>
        <w:ind w:firstLineChars="200" w:firstLine="600"/>
        <w:jc w:val="both"/>
        <w:rPr>
          <w:rFonts w:ascii="黑体" w:eastAsia="黑体" w:hAnsi="黑体" w:cs="黑体" w:hint="eastAsia"/>
          <w:color w:val="404040"/>
          <w:sz w:val="30"/>
          <w:szCs w:val="30"/>
        </w:rPr>
      </w:pPr>
      <w:r w:rsidRPr="0086481F">
        <w:rPr>
          <w:rFonts w:ascii="黑体" w:eastAsia="黑体" w:hAnsi="黑体" w:cs="黑体" w:hint="eastAsia"/>
          <w:color w:val="404040"/>
          <w:sz w:val="30"/>
          <w:szCs w:val="30"/>
        </w:rPr>
        <w:t>学    校：</w:t>
      </w:r>
      <w:r>
        <w:rPr>
          <w:rFonts w:ascii="黑体" w:eastAsia="黑体" w:hAnsi="黑体" w:cs="黑体" w:hint="eastAsia"/>
          <w:color w:val="404040"/>
          <w:sz w:val="30"/>
          <w:szCs w:val="30"/>
        </w:rPr>
        <w:t>_</w:t>
      </w:r>
      <w:r>
        <w:rPr>
          <w:rFonts w:ascii="黑体" w:eastAsia="黑体" w:hAnsi="黑体" w:cs="黑体"/>
          <w:color w:val="404040"/>
          <w:sz w:val="30"/>
          <w:szCs w:val="30"/>
        </w:rPr>
        <w:t>_______________________________</w:t>
      </w:r>
    </w:p>
    <w:p w14:paraId="6DC259E2" w14:textId="25997882" w:rsidR="0086481F" w:rsidRPr="0086481F" w:rsidRDefault="0086481F" w:rsidP="0086481F">
      <w:pPr>
        <w:pStyle w:val="a7"/>
        <w:widowControl/>
        <w:ind w:firstLineChars="200" w:firstLine="600"/>
        <w:jc w:val="both"/>
        <w:rPr>
          <w:rFonts w:ascii="黑体" w:eastAsia="黑体" w:hAnsi="黑体" w:cs="黑体" w:hint="eastAsia"/>
          <w:color w:val="404040"/>
          <w:sz w:val="30"/>
          <w:szCs w:val="30"/>
        </w:rPr>
      </w:pPr>
      <w:r w:rsidRPr="0086481F">
        <w:rPr>
          <w:rFonts w:ascii="黑体" w:eastAsia="黑体" w:hAnsi="黑体" w:cs="黑体" w:hint="eastAsia"/>
          <w:color w:val="404040"/>
          <w:sz w:val="30"/>
          <w:szCs w:val="30"/>
        </w:rPr>
        <w:t>指导教师：</w:t>
      </w:r>
      <w:r>
        <w:rPr>
          <w:rFonts w:ascii="黑体" w:eastAsia="黑体" w:hAnsi="黑体" w:cs="黑体" w:hint="eastAsia"/>
          <w:color w:val="404040"/>
          <w:sz w:val="30"/>
          <w:szCs w:val="30"/>
        </w:rPr>
        <w:t>_</w:t>
      </w:r>
      <w:r>
        <w:rPr>
          <w:rFonts w:ascii="黑体" w:eastAsia="黑体" w:hAnsi="黑体" w:cs="黑体"/>
          <w:color w:val="404040"/>
          <w:sz w:val="30"/>
          <w:szCs w:val="30"/>
        </w:rPr>
        <w:t>_______________________________</w:t>
      </w:r>
    </w:p>
    <w:p w14:paraId="53FF2AE9" w14:textId="306A98C0" w:rsidR="0086481F" w:rsidRPr="0086481F" w:rsidRDefault="0086481F" w:rsidP="0086481F">
      <w:pPr>
        <w:pStyle w:val="a7"/>
        <w:widowControl/>
        <w:rPr>
          <w:rFonts w:ascii="黑体" w:eastAsia="黑体" w:hAnsi="黑体" w:cs="黑体" w:hint="eastAsia"/>
          <w:color w:val="404040"/>
          <w:sz w:val="30"/>
          <w:szCs w:val="30"/>
        </w:rPr>
      </w:pPr>
      <w:r w:rsidRPr="0086481F">
        <w:rPr>
          <w:rFonts w:ascii="黑体" w:eastAsia="黑体" w:hAnsi="黑体" w:cs="黑体" w:hint="eastAsia"/>
          <w:color w:val="404040"/>
          <w:sz w:val="30"/>
          <w:szCs w:val="30"/>
        </w:rPr>
        <w:t xml:space="preserve">　　团队成员：</w:t>
      </w:r>
      <w:r>
        <w:rPr>
          <w:rFonts w:ascii="黑体" w:eastAsia="黑体" w:hAnsi="黑体" w:cs="黑体" w:hint="eastAsia"/>
          <w:color w:val="404040"/>
          <w:sz w:val="30"/>
          <w:szCs w:val="30"/>
        </w:rPr>
        <w:t>_</w:t>
      </w:r>
      <w:r>
        <w:rPr>
          <w:rFonts w:ascii="黑体" w:eastAsia="黑体" w:hAnsi="黑体" w:cs="黑体"/>
          <w:color w:val="404040"/>
          <w:sz w:val="30"/>
          <w:szCs w:val="30"/>
        </w:rPr>
        <w:t>_______________________________</w:t>
      </w:r>
    </w:p>
    <w:p w14:paraId="7F1E1790" w14:textId="608F1353" w:rsidR="0086481F" w:rsidRPr="0086481F" w:rsidRDefault="0086481F" w:rsidP="0086481F">
      <w:pPr>
        <w:pStyle w:val="a7"/>
        <w:widowControl/>
        <w:rPr>
          <w:rFonts w:ascii="黑体" w:eastAsia="黑体" w:hAnsi="黑体" w:cs="黑体" w:hint="eastAsia"/>
          <w:color w:val="404040"/>
          <w:sz w:val="30"/>
          <w:szCs w:val="30"/>
        </w:rPr>
        <w:sectPr w:rsidR="0086481F" w:rsidRPr="0086481F" w:rsidSect="00021E07">
          <w:headerReference w:type="default" r:id="rId7"/>
          <w:headerReference w:type="first" r:id="rId9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  <w:titlePg/>
        </w:sectPr>
      </w:pPr>
      <w:r w:rsidRPr="0086481F">
        <w:rPr>
          <w:rFonts w:ascii="黑体" w:eastAsia="黑体" w:hAnsi="黑体" w:cs="黑体" w:hint="eastAsia"/>
          <w:color w:val="404040"/>
          <w:sz w:val="30"/>
          <w:szCs w:val="30"/>
        </w:rPr>
        <w:t xml:space="preserve">　　组长电话：</w:t>
      </w:r>
      <w:r>
        <w:rPr>
          <w:rFonts w:ascii="黑体" w:eastAsia="黑体" w:hAnsi="黑体" w:cs="黑体" w:hint="eastAsia"/>
          <w:color w:val="404040"/>
          <w:sz w:val="30"/>
          <w:szCs w:val="30"/>
        </w:rPr>
        <w:t>_</w:t>
      </w:r>
      <w:r>
        <w:rPr>
          <w:rFonts w:ascii="黑体" w:eastAsia="黑体" w:hAnsi="黑体" w:cs="黑体"/>
          <w:color w:val="404040"/>
          <w:sz w:val="30"/>
          <w:szCs w:val="30"/>
        </w:rPr>
        <w:t>_______________________________</w:t>
      </w:r>
    </w:p>
    <w:p w14:paraId="7E289456" w14:textId="77777777" w:rsidR="0059403A" w:rsidRDefault="0086481F" w:rsidP="0086481F">
      <w:pPr>
        <w:pStyle w:val="a7"/>
        <w:widowControl/>
        <w:jc w:val="center"/>
        <w:rPr>
          <w:rFonts w:ascii="黑体" w:eastAsia="黑体" w:hAnsi="黑体" w:cs="黑体" w:hint="eastAsia"/>
          <w:b/>
          <w:bCs/>
          <w:color w:val="404040"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color w:val="404040"/>
          <w:sz w:val="36"/>
          <w:szCs w:val="36"/>
        </w:rPr>
        <w:lastRenderedPageBreak/>
        <w:t>目录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2100210941"/>
        <w:docPartObj>
          <w:docPartGallery w:val="Table of Contents"/>
          <w:docPartUnique/>
        </w:docPartObj>
      </w:sdtPr>
      <w:sdtContent>
        <w:p w14:paraId="154221B4" w14:textId="4384898B" w:rsidR="0059403A" w:rsidRDefault="0059403A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513B808" w14:textId="77777777" w:rsidR="0059403A" w:rsidRDefault="00000000">
          <w:pPr>
            <w:pStyle w:val="TOC1"/>
            <w:rPr>
              <w:rFonts w:hint="eastAsia"/>
            </w:rPr>
          </w:pPr>
          <w:sdt>
            <w:sdtPr>
              <w:rPr>
                <w:b/>
                <w:bCs/>
              </w:rPr>
              <w:id w:val="183865962"/>
              <w:placeholder>
                <w:docPart w:val="64BE35B852C24A9F8D1A829167D55932"/>
              </w:placeholder>
              <w:temporary/>
              <w:showingPlcHdr/>
            </w:sdtPr>
            <w:sdtContent>
              <w:r w:rsidR="0059403A">
                <w:rPr>
                  <w:b/>
                  <w:bCs/>
                  <w:lang w:val="zh-CN"/>
                </w:rPr>
                <w:t>1 项目概述</w:t>
              </w:r>
            </w:sdtContent>
          </w:sdt>
          <w:r w:rsidR="0059403A">
            <w:ptab w:relativeTo="margin" w:alignment="right" w:leader="dot"/>
          </w:r>
          <w:r w:rsidR="0059403A">
            <w:rPr>
              <w:b/>
              <w:bCs/>
              <w:lang w:val="zh-CN"/>
            </w:rPr>
            <w:t>3</w:t>
          </w:r>
        </w:p>
        <w:p w14:paraId="0087C2E2" w14:textId="77777777" w:rsidR="0059403A" w:rsidRDefault="00000000">
          <w:pPr>
            <w:pStyle w:val="TOC2"/>
            <w:ind w:left="216"/>
            <w:rPr>
              <w:rFonts w:hint="eastAsia"/>
            </w:rPr>
          </w:pPr>
          <w:sdt>
            <w:sdtPr>
              <w:id w:val="1667506712"/>
              <w:placeholder>
                <w:docPart w:val="8379692B000F4DDBAE58465CFCBE965C"/>
              </w:placeholder>
              <w:temporary/>
              <w:showingPlcHdr/>
            </w:sdtPr>
            <w:sdtContent>
              <w:r w:rsidR="0059403A">
                <w:rPr>
                  <w:lang w:val="zh-CN"/>
                </w:rPr>
                <w:t>1.1 选题背景与建设动因</w:t>
              </w:r>
            </w:sdtContent>
          </w:sdt>
          <w:r w:rsidR="0059403A">
            <w:ptab w:relativeTo="margin" w:alignment="right" w:leader="dot"/>
          </w:r>
          <w:r w:rsidR="0059403A">
            <w:rPr>
              <w:lang w:val="zh-CN"/>
            </w:rPr>
            <w:t>3</w:t>
          </w:r>
        </w:p>
        <w:p w14:paraId="734BFF83" w14:textId="77777777" w:rsidR="0059403A" w:rsidRDefault="00000000">
          <w:pPr>
            <w:pStyle w:val="TOC3"/>
            <w:ind w:left="446"/>
            <w:rPr>
              <w:rFonts w:hint="eastAsia"/>
            </w:rPr>
          </w:pPr>
          <w:sdt>
            <w:sdtPr>
              <w:id w:val="93059032"/>
              <w:placeholder>
                <w:docPart w:val="DABA85848ABD4BBA8E3260214B84D5E7"/>
              </w:placeholder>
              <w:temporary/>
              <w:showingPlcHdr/>
            </w:sdtPr>
            <w:sdtContent>
              <w:r w:rsidR="0059403A">
                <w:rPr>
                  <w:lang w:val="zh-CN"/>
                </w:rPr>
                <w:t>1.2 建设意义与用户需求</w:t>
              </w:r>
            </w:sdtContent>
          </w:sdt>
          <w:r w:rsidR="0059403A">
            <w:ptab w:relativeTo="margin" w:alignment="right" w:leader="dot"/>
          </w:r>
          <w:r w:rsidR="0059403A">
            <w:rPr>
              <w:lang w:val="zh-CN"/>
            </w:rPr>
            <w:t>4</w:t>
          </w:r>
        </w:p>
        <w:p w14:paraId="45963343" w14:textId="77777777" w:rsidR="0059403A" w:rsidRDefault="00000000">
          <w:pPr>
            <w:pStyle w:val="TOC1"/>
            <w:rPr>
              <w:rFonts w:hint="eastAsia"/>
            </w:rPr>
          </w:pPr>
          <w:sdt>
            <w:sdtPr>
              <w:rPr>
                <w:b/>
                <w:bCs/>
              </w:rPr>
              <w:id w:val="183865966"/>
              <w:placeholder>
                <w:docPart w:val="64BE35B852C24A9F8D1A829167D55932"/>
              </w:placeholder>
              <w:temporary/>
              <w:showingPlcHdr/>
            </w:sdtPr>
            <w:sdtContent>
              <w:r w:rsidR="0059403A">
                <w:rPr>
                  <w:b/>
                  <w:bCs/>
                  <w:lang w:val="zh-CN"/>
                </w:rPr>
                <w:t>2 系统总体架构设计</w:t>
              </w:r>
            </w:sdtContent>
          </w:sdt>
          <w:r w:rsidR="0059403A">
            <w:ptab w:relativeTo="margin" w:alignment="right" w:leader="dot"/>
          </w:r>
          <w:r w:rsidR="0059403A">
            <w:rPr>
              <w:b/>
              <w:bCs/>
              <w:lang w:val="zh-CN"/>
            </w:rPr>
            <w:t>5</w:t>
          </w:r>
        </w:p>
        <w:p w14:paraId="2E395B4C" w14:textId="77777777" w:rsidR="0059403A" w:rsidRDefault="00000000">
          <w:pPr>
            <w:pStyle w:val="TOC2"/>
            <w:ind w:left="216"/>
            <w:rPr>
              <w:rFonts w:hint="eastAsia"/>
            </w:rPr>
          </w:pPr>
          <w:sdt>
            <w:sdtPr>
              <w:id w:val="93059040"/>
              <w:placeholder>
                <w:docPart w:val="8379692B000F4DDBAE58465CFCBE965C"/>
              </w:placeholder>
              <w:temporary/>
              <w:showingPlcHdr/>
            </w:sdtPr>
            <w:sdtContent>
              <w:r w:rsidR="0059403A">
                <w:rPr>
                  <w:lang w:val="zh-CN"/>
                </w:rPr>
                <w:t>3 系统实现</w:t>
              </w:r>
            </w:sdtContent>
          </w:sdt>
          <w:r w:rsidR="0059403A">
            <w:ptab w:relativeTo="margin" w:alignment="right" w:leader="dot"/>
          </w:r>
          <w:r w:rsidR="0059403A">
            <w:rPr>
              <w:lang w:val="zh-CN"/>
            </w:rPr>
            <w:t>7</w:t>
          </w:r>
        </w:p>
        <w:p w14:paraId="697030CC" w14:textId="0BF14F86" w:rsidR="0059403A" w:rsidRDefault="00000000">
          <w:pPr>
            <w:pStyle w:val="TOC3"/>
            <w:ind w:left="446"/>
            <w:rPr>
              <w:rFonts w:hint="eastAsia"/>
            </w:rPr>
          </w:pPr>
          <w:sdt>
            <w:sdtPr>
              <w:id w:val="93059044"/>
              <w:placeholder>
                <w:docPart w:val="DABA85848ABD4BBA8E3260214B84D5E7"/>
              </w:placeholder>
              <w:temporary/>
              <w:showingPlcHdr/>
            </w:sdtPr>
            <w:sdtContent>
              <w:r w:rsidR="0059403A">
                <w:rPr>
                  <w:lang w:val="zh-CN"/>
                </w:rPr>
                <w:t>4 总结</w:t>
              </w:r>
            </w:sdtContent>
          </w:sdt>
          <w:r w:rsidR="0059403A">
            <w:ptab w:relativeTo="margin" w:alignment="right" w:leader="dot"/>
          </w:r>
          <w:r w:rsidR="0059403A">
            <w:rPr>
              <w:lang w:val="zh-CN"/>
            </w:rPr>
            <w:t>10</w:t>
          </w:r>
        </w:p>
      </w:sdtContent>
    </w:sdt>
    <w:p w14:paraId="407AF73C" w14:textId="47D62A7B" w:rsidR="0086481F" w:rsidRDefault="0086481F" w:rsidP="0059403A">
      <w:pPr>
        <w:pStyle w:val="a7"/>
        <w:widowControl/>
        <w:jc w:val="center"/>
        <w:rPr>
          <w:rFonts w:ascii="黑体" w:eastAsia="黑体" w:hAnsi="黑体" w:cs="黑体" w:hint="eastAsia"/>
          <w:b/>
          <w:bCs/>
          <w:color w:val="404040"/>
          <w:sz w:val="36"/>
          <w:szCs w:val="36"/>
        </w:rPr>
      </w:pPr>
      <w:r>
        <w:rPr>
          <w:rFonts w:ascii="黑体" w:eastAsia="黑体" w:hAnsi="黑体" w:cs="黑体"/>
          <w:b/>
          <w:bCs/>
          <w:color w:val="404040"/>
          <w:sz w:val="36"/>
          <w:szCs w:val="36"/>
        </w:rPr>
        <w:br w:type="page"/>
      </w:r>
    </w:p>
    <w:p>
      <w:pPr>
        <w:pStyle w:val="Normal"/>
        <w:spacing w:before="0" w:after="180" w:line="330" w:lineRule="auto"/>
        <w:jc w:val="left"/>
        <w:shd w:fill="EDF5FB"/>
        <w:pBdr>
          <w:left w:val="single" w:sz="16" w:space="8" w:color="5B9BD5"/>
        </w:pBdr>
        <w:ind w:left="220" w:right="160"/>
      </w:pPr>
      <w:r>
        <w:rPr>
          <w:rFonts w:ascii="楷体" w:hAnsi="楷体" w:eastAsia="楷体"/>
          <w:color w:val="5B7FA3"/>
          <w:sz w:val="22"/>
          <w:szCs w:val="22"/>
        </w:rPr>
        <w:t>阅读说明：本文档依据 GreenTwin 当前仓库中的需求规格、运行时配置、页面源码与测试用例编写，重点说明项目背景、建设价值、总体架构和关键实现。涉及现场 iServer、S3M 与 AI 服务的能力，以实际部署配置和服务可用性为准。</w:t>
      </w:r>
    </w:p>
    <w:p>
      <w:pPr>
        <w:pStyle w:val="1"/>
        <w:spacing w:before="240" w:after="180" w:line="300" w:lineRule="auto"/>
        <w:jc w:val="left"/>
        <w:keepNext/>
      </w:pPr>
      <w:r>
        <w:rPr>
          <w:rFonts w:ascii="黑体" w:hAnsi="黑体" w:eastAsia="黑体"/>
          <w:b/>
          <w:bCs/>
          <w:color w:val="000000"/>
          <w:sz w:val="32"/>
          <w:szCs w:val="32"/>
        </w:rPr>
        <w:t>1 项目概述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1.1 选题背景与建设动因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县域乡村建设与治理同时涉及自然资源、人口产业、公共服务、生态环境和基层事件等多类信息。这些信息具有明显的空间属性，但在传统工作方式中往往分散于统计表、专题图、遥感影像、三维场景和业务台账之中。数据口径、坐标体系与更新频率不一致，使管理人员难以在同一视图中理解土地利用格局、资源环境约束、产业发展条件和治理问题之间的关系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GreenTwin 以兰考县和美乡村建设场景为对象，把二维地图、三维实景、三生空间评价和乡村治理业务组织到统一的数字孪生决策平台中。项目不是简单地把多个页面集中展示，而是尝试建立“数据汇聚—空间分析—问题发现—辅助研判—成果输出”的连续链路，让分散信息能够围绕乡镇、村庄和具体空间位置形成可解释的业务关联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项目的直接建设动因包括四个方面：一是原有主控、三生、数字孪生和治理页面彼此独立，现场演示和业务切换不连贯；二是地图、三维和业务服务地址散落在代码中，部署环境变化会带来较高调整成本；三是静态页面中的数据、DOM 操作与地图生命周期耦合，难以维护和测试；四是模型计算、专题地图和治理台账之间缺少统一交互，分析结果不易进一步转化为报告和行动建议。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1.2 建设意义与用户需求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平台建设的核心意义，是以空间为共同索引，把县域宏观态势、乡镇评价结果、村庄三维场景和治理问题闭环连接起来。对管理和规划人员而言，平台提供从县域总览到乡镇比较、再到具体问题点位的逐级研判入口；对乡镇和基层治理人员而言，平台提供筛选、定位、查看详情、更新状态和导出清单的工作界面；对演示与评审人员而言，统一导航和全屏大屏界面能够清晰呈现项目方法、数据依据与实现成果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用户需要的不只是“看图”，而是能够回答若干实际问题：当前人口、经济、土地与治理态势如何；不同乡镇在生态、生活、生产空间上各有什么优势和短板；某一治理问题位于何处、处于什么阶段；三维资产与评价结果能否联动展示；当服务地址或现场网络发生变化时，系统能否快速调整并给出明确反馈。GreenTwin 围绕这些问题设置模块边界和交互路径。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1.3 建设目标与范围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项目目标是形成一个基于 Vue 3、TypeScript 与 Vite 的单页应用，统一承载主控大屏、三生空间、数字孪生和乡村治理四个业务模块，并通过运行时配置接入 SuperMap iServer、SuperMap iClient3D、DEM 影像服务和报告生成接口。平台优先适配 1920×1080 横屏，同时兼顾常见笔记本横屏，保持深色科技大屏的视觉语言。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当前范围聚焦前端展示、空间服务接入、模型计算、联动交互与成果导出。iServer、三维数据、数据库以及正式用户中心不在本项目内建设；部分页面数据仍承担原型或演示作用。系统对这些边界进行显式处理：外部服务失败时给出加载状态和错误提示，AI 报告仅用于辅助研判，浏览器本地认证仅用于比赛演示，正式生产部署需要接入后端身份认证、数据治理和安全审计机制。</w:t>
      </w:r>
    </w:p>
    <w:p>
      <w:pPr>
        <w:pStyle w:val="1"/>
        <w:spacing w:before="240" w:after="180" w:line="300" w:lineRule="auto"/>
        <w:jc w:val="left"/>
        <w:keepNext/>
        <w:pageBreakBefore/>
      </w:pPr>
      <w:r>
        <w:rPr>
          <w:rFonts w:ascii="黑体" w:hAnsi="黑体" w:eastAsia="黑体"/>
          <w:b/>
          <w:bCs/>
          <w:color w:val="000000"/>
          <w:sz w:val="32"/>
          <w:szCs w:val="32"/>
        </w:rPr>
        <w:t>2 系统总体架构设计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2.1 总体设计思路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GreenTwin 采用浏览器端单页应用架构。Vue Router 负责登录页与四个业务模块之间的路由组织，应用壳层提供统一导航和退出入口；Vue 组合式 API 管理页面状态与生命周期；运行时配置在应用启动阶段加载，配置校验通过后再初始化地图、三维场景和业务请求。该方式把页面展示、业务状态、GIS 能力和外部服务连接分层，降低现场配置变化对源码的影响。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系统从上到下可概括为五层：第一层是面向用户的登录、导航和全屏可视化界面；第二层是主控、三生、孪生和治理四个业务模块；第三层是指标计算、筛选联动、报告生成、地图工具等应用服务；第四层是 Leaflet、SuperMap iClient for Leaflet 与 SuperMap iClient3D for WebGL 等 GIS 能力；第五层是运行时配置、GeoJSON、iServer 地图与影像服务、S3M 场景和 Node 报告接口。各层通过明确的数据结构和生命周期边界协作。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2.2 功能模块设计</w:t>
      </w:r>
    </w:p>
    <w:tbl>
      <w:tblPr>
        <w:tblW w:w="8060" w:type="dxa"/>
        <w:tblInd w:w="12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500"/>
        <w:gridCol w:w="3300"/>
        <w:gridCol w:w="3260"/>
      </w:tblGrid>
      <w:tr>
        <w:trPr>
          <w:tblHeader/>
        </w:trPr>
        <w:tc>
          <w:tcPr>
            <w:tcW w:w="150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模块</w:t>
            </w:r>
          </w:p>
        </w:tc>
        <w:tc>
          <w:tcPr>
            <w:tcW w:w="330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主要信息</w:t>
            </w:r>
          </w:p>
        </w:tc>
        <w:tc>
          <w:tcPr>
            <w:tcW w:w="326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核心交互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主控大屏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人口、GDP、土地利用、DEM、治理问题与方案摘要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专题地图切换、地图工具、服务状态查看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三生空间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生态、生活、生产三类共 15 项指标及乡镇评价结果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权重调整、重算排名、地图联动、AI 报告与 Word 导出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数字孪生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白膜、倾斜摄影、点云及村庄三维资产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场景模式切换、图层显隐、预设视点漫游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乡村治理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问题总览、空间点位、详情、处置流程与统计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组合筛选、热点/聚类/状态图层、更新状态、清单导出</w:t>
            </w:r>
          </w:p>
        </w:tc>
      </w:tr>
    </w:tbl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2.3 数据与服务架构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二维业务地图以影像底图为基础，叠加行政区划、专题数据和治理问题。乡镇服务可从 iServer 查询要素与服务范围，地图在加载成功后自动居中适配；当范围读取失败时，系统回退到运行时配置中的中心点和缩放级别。针对原始坐标系为 EPSG:4326 且未启用动态投影的服务，客户端按影像瓦片经纬度范围请求透明图像，再与 EPSG:3857 底图对齐。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DEM 能力通过运行时配置指向影像服务及 Lankao-DEM 集合。主控大屏读取 STAC 元数据、缩略图和栅格抽样结果，并可叠加服务端渲染的高程栅格；三维模块按需加载与现场服务兼容的 WebGL SDK 和 S3M 图层。业务数据既可以来自项目内的静态 GeoJSON 与模型数据，也可以由后端接口提供。所有服务地址集中在 public/config/runtime-config.json 中，可在生产构建后按现场环境修改。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2.4 交互与界面设计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界面延续深色科技大屏风格，采用统一的页头、面板、地图工具、雷达图和设计变量。主控强调全局态势，三生强调模型参数与排名，数字孪生强调沉浸式场景和图层控制，治理模块强调筛选、地图、列表和详情的联动。四个模块虽然信息密度不同，但共享统一导航、状态反馈和组件规范，用户无需离开平台即可完成跨模块切换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地图工具提供底图风格、缩放、全图、定位、测距、测面、标绘、清除与图件导出等常用能力。加载过程、外部服务错误和空数据状态均在界面中明确呈现，避免地图或三维服务失败时出现不可解释的空白。路由切换时清理地图实例、事件监听器、定时器和 WebGL 资源，保证连续演示的稳定性。</w:t>
      </w:r>
    </w:p>
    <w:p>
      <w:pPr>
        <w:pStyle w:val="1"/>
        <w:spacing w:before="240" w:after="180" w:line="300" w:lineRule="auto"/>
        <w:jc w:val="left"/>
        <w:keepNext/>
        <w:pageBreakBefore/>
      </w:pPr>
      <w:r>
        <w:rPr>
          <w:rFonts w:ascii="黑体" w:hAnsi="黑体" w:eastAsia="黑体"/>
          <w:b/>
          <w:bCs/>
          <w:color w:val="000000"/>
          <w:sz w:val="32"/>
          <w:szCs w:val="32"/>
        </w:rPr>
        <w:t>3 系统实现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3.1 前端工程与运行时配置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系统基于 Vue 3.5、TypeScript 5.9、Vite 7 和 Vue Router 4 实现，使用单文件组件组织页面结构和样式。主控页面作为默认入口，其余业务页面按路由懒加载，三维 SDK 仅在进入数字孪生模块时按需加载。公共组件和组合式函数集中在 src/shared，GIS 适配层集中在 src/gis，页面专属数据与逻辑保留在对应 features 目录中。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应用启动时读取运行时 JSON 配置，并校验标题、业务 API、请求超时、地图中心点、二维 SDK、地图服务、DEM 服务和三维场景地址。配置失败时显示启动错误页，而不是挂载一个功能不完整的应用。该机制使构建产物可以在不同演示环境中复用，同时避免把密码、私钥或长期令牌写入公开前端配置。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3.2 主控大屏与二维 GIS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主控大屏综合展示人口与密度、GDP、三生指数、土地利用、DEM、治理问题和决策方案摘要。人口与 GDP 数据按年度组织，土地利用以耕地、林草、村庄建设、水域和其他用地等类型表达；治理问题按人居环境、公共设施、生态保护等类别汇总。地图以 Leaflet 为容器，加载 SuperMap 影像底图、行政区划以及业务叠加层，并通过统一工具箱提供浏览、测量和标绘能力。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地图初始化、图层加载和组件卸载均由组合式函数管理。行政区划加载后读取服务范围并自动缩放，失败时使用默认视图；DEM 面板读取真实服务的元数据和栅格摘要，加载异常会显示可读原因。此类设计把“有数据时展示真实结果、服务异常时给出清晰反馈”作为基本原则，避免演示数据与在线服务状态混淆。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3.3 三生空间综合评价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三生空间模块建立生态、生活、生产三类指标体系，每类设置 5 项指标，共 15 项。生态维度关注生态用地、水域、水网、坡度和建设干扰；生活维度关注居住、公共服务、教育、医疗和道路可达性；生产维度关注耕地、建设用地、产业 POI、道路密度和主干路距离。指标分别采用正向、负向或适度型评价方向，经过标准化和权重计算后形成维度得分与综合得分。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用户可以调整三类空间权重，系统自动归一化并重新计算乡镇排名、综合指数、雷达图和指标明细。点击排名项或地图乡镇时，选中对象、得分、诊断和专题图层同步更新；专题图支持综合、生态、生活、生产、优势和短板等视角。核心计算函数与界面分离，并通过单元测试覆盖权重归一化、评价方向、排名与边界情况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在分析成果输出方面，前端向同源 Node 接口提交当前乡镇得分、权重、县域均值、排名和 15 项指标。服务端校验输入后调用 DeepSeek Chat Completions，要求返回结构化 JSON，再次校验报告章节和枚举值后回传页面。用户可查看执行摘要、总体评价、分维度分析、优势短板、行动建议、风险和结论，并导出标准 Word 文档。API Key 仅由服务端读取，AI 结果明确标注为辅助研判。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3.4 数字孪生场景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数字孪生模块通过 SuperMap iClient3D for WebGL 初始化三维 Viewer，并按运行时配置加载三维白膜、倾斜摄影实景和激光雷达点云。用户可切换场景模式，控制建筑、道路、水系、树木、工坊和治理问题等图层显隐，并通过村委会广场、泡桐林和工坊集群等预设视点执行平滑漫游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场景侧栏同步展示三维资产概览和三生空间评价雷达图，使三维浏览不仅承担视觉展示，还能承接空间评价和治理信息。初始化、图层请求与运行状态均有显式提示；若某个三维服务不可用，导航和非三维界面仍保持可操作。离开页面时销毁 Viewer 并释放场景事件与 WebGL 资源，减少重复进入造成的显存累积。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3.5 乡村治理闭环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乡村治理模块以 GeoJSON 问题数据为基础，展示问题总数、待审核、处理中、已办结、闭环率和高紧急问题数量。用户可按关键词、类型、乡镇、村庄、时间范围和紧急程度组合筛选，并在问题点、热点、聚类和处置状态等图层间切换。地图点位、最新上报列表与详情面板共享选中状态，便于从统计总览下钻到单个事件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问题详情包含位置、村庄、上报信息、现场照片和处理记录，并以“上报—审核—派单—处理中—已办结”的流程呈现处置进度。状态更新后，统计、列表、详情、地图和图表同步刷新；当前筛选结果可以导出 CSV 清单。该模块体现平台从空间发现到业务处置的闭环思路，但正式上线仍需对接后端持久化、权限控制、操作审计和并发冲突处理。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3.6 登录、安全与工程质量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平台提供 /login 入口并保护四个业务路由。当前演示版允许创建本地账户，密码经随机盐和 SHA-256 摘要后保存在浏览器本地存储，记住账户功能只保存账户名；登录后可返回原目标路由。该方案仅满足比赛演示环境，不能替代服务端身份认证。正式部署应接入用户中心、安全 Cookie 或短期令牌，并由服务端使用专用密码哈希算法。</w:t>
      </w:r>
    </w:p>
    <w:tbl>
      <w:tblPr>
        <w:tblW w:w="8060" w:type="dxa"/>
        <w:tblInd w:w="12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500"/>
        <w:gridCol w:w="3300"/>
        <w:gridCol w:w="3260"/>
      </w:tblGrid>
      <w:tr>
        <w:trPr>
          <w:tblHeader/>
        </w:trPr>
        <w:tc>
          <w:tcPr>
            <w:tcW w:w="150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工程环节</w:t>
            </w:r>
          </w:p>
        </w:tc>
        <w:tc>
          <w:tcPr>
            <w:tcW w:w="330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当前实现</w:t>
            </w:r>
          </w:p>
        </w:tc>
        <w:tc>
          <w:tcPr>
            <w:tcW w:w="3260" w:type="dxa"/>
            <w:vAlign w:val="center"/>
            <w:shd w:fill="D9EA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17324D"/>
                <w:sz w:val="20"/>
                <w:szCs w:val="20"/>
              </w:rPr>
              <w:t>作用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类型与构建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TypeScript 类型检查 + Vite 生产构建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在交付前发现接口与组件类型错误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代码质量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ESLint 检查、Prettier 格式化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统一 Vue、TypeScript 与样式规范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自动测试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Vitest 覆盖认证、配置、地图、DEM、模型、治理与报告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验证正常、边界和回退场景</w:t>
            </w:r>
          </w:p>
        </w:tc>
      </w:tr>
      <w:tr>
        <w:tc>
          <w:tcPr>
            <w:tcW w:w="15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现场部署</w:t>
            </w:r>
          </w:p>
        </w:tc>
        <w:tc>
          <w:tcPr>
            <w:tcW w:w="330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构建后可修改 runtime-config.json</w:t>
            </w:r>
          </w:p>
        </w:tc>
        <w:tc>
          <w:tcPr>
            <w:tcW w:w="326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rmal"/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color w:val="222222"/>
                <w:sz w:val="19"/>
                <w:szCs w:val="19"/>
              </w:rPr>
              <w:t>适配不同 iServer、三维与业务服务地址</w:t>
            </w:r>
          </w:p>
        </w:tc>
      </w:tr>
    </w:tbl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项目使用 Node.js 22.12 或更高版本，依赖由 package-lock.json 锁定。交付前执行 ESLint、Vitest、类型检查和生产构建，确保代码质量与构建结果一致。服务器端入口既可托管 dist 静态文件，也可提供三生报告接口；部署时还需保证前端、API、iServer 和 SDK 资源协议一致，并提前配置跨域访问。</w:t>
      </w:r>
    </w:p>
    <w:p>
      <w:pPr>
        <w:pStyle w:val="1"/>
        <w:spacing w:before="240" w:after="180" w:line="300" w:lineRule="auto"/>
        <w:jc w:val="left"/>
        <w:keepNext/>
        <w:pageBreakBefore/>
      </w:pPr>
      <w:r>
        <w:rPr>
          <w:rFonts w:ascii="黑体" w:hAnsi="黑体" w:eastAsia="黑体"/>
          <w:b/>
          <w:bCs/>
          <w:color w:val="000000"/>
          <w:sz w:val="32"/>
          <w:szCs w:val="32"/>
        </w:rPr>
        <w:t>4 总结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4.1 项目特点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GreenTwin 的主要特点在于以统一空间底座连接县域态势、三生评价、三维场景和治理闭环。平台既保留大屏展示的直观性，也把权重计算、地图联动、服务状态、报告生成和成果导出组织为可操作流程。运行时配置与 GIS 生命周期封装提升了现场部署和连续演示的可靠性，Vue 与 TypeScript 工程化改造则为后续扩展提供了清晰边界。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4.2 当前限制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当前系统仍具有原型和比赛演示属性。部分业务指标、三维资产统计和治理数据用于功能验证；外部地图、影像、S3M 与 AI 能力依赖现场服务和网络；本地账户不具备生产级安全保障；AI 报告不能替代法定规划、实地调查和专家审查。因此，平台展示的结果应结合数据来源、统计周期和服务状态进行解释，不应脱离数据边界作确定性结论。</w:t>
      </w:r>
    </w:p>
    <w:p>
      <w:pPr>
        <w:pStyle w:val="2"/>
        <w:spacing w:before="180" w:after="100" w:line="300" w:lineRule="auto"/>
        <w:jc w:val="left"/>
        <w:keepNext/>
      </w:pPr>
      <w:r>
        <w:rPr>
          <w:rFonts w:ascii="黑体" w:hAnsi="黑体" w:eastAsia="黑体"/>
          <w:b/>
          <w:bCs/>
          <w:color w:val="404040"/>
          <w:sz w:val="27"/>
          <w:szCs w:val="27"/>
        </w:rPr>
        <w:t>4.3 后续建设方向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后续可从四条路径持续完善：第一，建立统一的数据目录、元数据、版本和质量规则，让人口、经济、土地、DEM、三维资产与治理事件具备可追溯来源；第二，对接正式用户中心和业务后端，实现分级授权、持久化、操作审计和跨部门协同；第三，引入经过验证的时序监测、情景推演与模型评估机制，增强从现状展示到方案比较的能力；第四，完善性能监控、自动化端到端测试和现场应急预案，提高多服务协同环境下的稳定性。</w:t>
      </w:r>
    </w:p>
    <w:p>
      <w:pPr>
        <w:pStyle w:val="Normal"/>
        <w:ind w:firstLine="480"/>
        <w:spacing w:before="0" w:after="120" w:line="360" w:lineRule="auto"/>
        <w:jc w:val="both"/>
      </w:pPr>
      <w:r>
        <w:rPr>
          <w:rFonts w:ascii="宋体" w:hAnsi="宋体" w:eastAsia="宋体"/>
          <w:color w:val="000000"/>
          <w:sz w:val="24"/>
          <w:szCs w:val="24"/>
        </w:rPr>
        <w:t>总体而言，GreenTwin 已形成面向兰考县和美乡村场景的数字孪生决策平台原型：以二维 GIS 汇聚县域数据，以三生评价解释空间差异，以三维场景增强直观认知，以治理模块承接问题处置，并以结构化报告支持成果表达。它为后续接入真实业务数据、完善决策模型和拓展协同治理提供了可复用的技术与产品基础。</w:t>
      </w:r>
    </w:p>
    <w:sectPr w:rsidR="00FC0148">
      <w:headerReference w:type="default" r:id="rId9"/>
      <w:headerReference w:type="even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9AC4" w14:textId="77777777" w:rsidR="00141BB0" w:rsidRDefault="00141BB0" w:rsidP="0086481F">
      <w:r>
        <w:separator/>
      </w:r>
    </w:p>
  </w:endnote>
  <w:endnote w:type="continuationSeparator" w:id="0">
    <w:p w14:paraId="2AA0656A" w14:textId="77777777" w:rsidR="00141BB0" w:rsidRDefault="00141BB0" w:rsidP="0086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561970"/>
      <w:docPartObj>
        <w:docPartGallery w:val="Page Numbers (Bottom of Page)"/>
        <w:docPartUnique/>
      </w:docPartObj>
    </w:sdtPr>
    <w:sdtContent>
      <w:p w14:paraId="3439AB29" w14:textId="69BD0453" w:rsidR="00DB2A9C" w:rsidRDefault="00DB2A9C">
        <w:pPr>
          <w:pStyle w:val="a5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6A827F" w14:textId="413731DF" w:rsidR="0086481F" w:rsidRDefault="00DB2A9C">
    <w:pPr>
      <w:pStyle w:val="a5"/>
      <w:rPr>
        <w:rFonts w:hint="eastAsia"/>
      </w:rPr>
    </w:pPr>
    <w:r>
      <w:rPr>
        <w:rFonts w:hint="eastAsia"/>
      </w:rPr>
      <w:t>《GreenTwin》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588C" w14:textId="77777777" w:rsidR="00141BB0" w:rsidRDefault="00141BB0" w:rsidP="0086481F">
      <w:r>
        <w:separator/>
      </w:r>
    </w:p>
  </w:footnote>
  <w:footnote w:type="continuationSeparator" w:id="0">
    <w:p w14:paraId="4AFC68B3" w14:textId="77777777" w:rsidR="00141BB0" w:rsidRDefault="00141BB0" w:rsidP="00864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tabs>
        <w:tab w:val="center" w:pos="4150"/>
        <w:tab w:val="right" w:pos="8300"/>
      </w:tabs>
      <w:pBdr>
        <w:bottom w:val="single" w:sz="8" w:space="2" w:color="000000"/>
      </w:pBdr>
    </w:pPr>
    <w:r>
      <w:tab/>
    </w:r>
    <w:r>
      <w:rPr>
        <w:rFonts w:ascii="宋体" w:hAnsi="宋体" w:eastAsia="宋体"/>
        <w:b/>
        <w:bCs/>
        <w:color w:val="000000"/>
        <w:sz w:val="20"/>
        <w:szCs w:val="20"/>
      </w:rPr>
      <w:t>SuperMap杯第二十四届高校GIS大赛</w:t>
    </w:r>
    <w:r>
      <w:tab/>
    </w:r>
    <w:r>
      <w:drawing>
        <wp:inline distT="0" distB="0" distL="0" distR="0" wp14:anchorId="5F0569FE" wp14:editId="6D005382">
          <wp:extent cx="772795" cy="223351"/>
          <wp:effectExtent l="0" t="0" r="0" b="5715"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762" cy="228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tabs>
        <w:tab w:val="center" w:pos="4150"/>
        <w:tab w:val="right" w:pos="8300"/>
      </w:tabs>
      <w:pBdr>
        <w:bottom w:val="single" w:sz="8" w:space="2" w:color="000000"/>
      </w:pBdr>
    </w:pPr>
    <w:r>
      <w:tab/>
    </w:r>
    <w:r>
      <w:rPr>
        <w:rFonts w:ascii="宋体" w:hAnsi="宋体" w:eastAsia="宋体"/>
        <w:b/>
        <w:bCs/>
        <w:color w:val="000000"/>
        <w:sz w:val="20"/>
        <w:szCs w:val="20"/>
      </w:rPr>
      <w:t>SuperMap杯第二十四届高校GIS大赛</w:t>
    </w:r>
    <w:r>
      <w:tab/>
    </w:r>
    <w:r>
      <w:drawing>
        <wp:inline distT="0" distB="0" distL="0" distR="0" wp14:anchorId="09FA1019" wp14:editId="7F8B85C8">
          <wp:extent cx="762000" cy="220231"/>
          <wp:effectExtent l="0" t="0" r="0" b="8890"/>
          <wp:docPr id="2" name="图片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660" cy="227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venAndOddHeader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1F"/>
    <w:rsid w:val="00021E07"/>
    <w:rsid w:val="000B5FBA"/>
    <w:rsid w:val="00141BB0"/>
    <w:rsid w:val="0014418A"/>
    <w:rsid w:val="001E264A"/>
    <w:rsid w:val="002F6185"/>
    <w:rsid w:val="00304B2D"/>
    <w:rsid w:val="00326A99"/>
    <w:rsid w:val="00387A60"/>
    <w:rsid w:val="003D323A"/>
    <w:rsid w:val="00500C5E"/>
    <w:rsid w:val="00561E3A"/>
    <w:rsid w:val="0059403A"/>
    <w:rsid w:val="005B1AD9"/>
    <w:rsid w:val="005E7F2C"/>
    <w:rsid w:val="006422FA"/>
    <w:rsid w:val="00663DB0"/>
    <w:rsid w:val="0086481F"/>
    <w:rsid w:val="0088642C"/>
    <w:rsid w:val="00A15DEB"/>
    <w:rsid w:val="00A160CB"/>
    <w:rsid w:val="00A54122"/>
    <w:rsid w:val="00AA72C5"/>
    <w:rsid w:val="00AB3DB4"/>
    <w:rsid w:val="00B24060"/>
    <w:rsid w:val="00B55A05"/>
    <w:rsid w:val="00B801C0"/>
    <w:rsid w:val="00C11148"/>
    <w:rsid w:val="00C86D57"/>
    <w:rsid w:val="00CB0494"/>
    <w:rsid w:val="00CB1AB4"/>
    <w:rsid w:val="00D43708"/>
    <w:rsid w:val="00DB2A9C"/>
    <w:rsid w:val="00DC34C4"/>
    <w:rsid w:val="00FC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34ECE"/>
  <w15:chartTrackingRefBased/>
  <w15:docId w15:val="{71D9709C-D23B-432D-B380-6A6B7659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81F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26A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648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48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48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481F"/>
    <w:rPr>
      <w:sz w:val="18"/>
      <w:szCs w:val="18"/>
    </w:rPr>
  </w:style>
  <w:style w:type="paragraph" w:styleId="a7">
    <w:name w:val="Normal (Web)"/>
    <w:basedOn w:val="a"/>
    <w:rsid w:val="0086481F"/>
    <w:pPr>
      <w:spacing w:before="100" w:beforeAutospacing="1" w:after="100" w:afterAutospacing="1"/>
      <w:jc w:val="left"/>
    </w:pPr>
    <w:rPr>
      <w:kern w:val="0"/>
    </w:rPr>
  </w:style>
  <w:style w:type="character" w:styleId="a8">
    <w:name w:val="Strong"/>
    <w:qFormat/>
    <w:rsid w:val="0086481F"/>
    <w:rPr>
      <w:b/>
    </w:rPr>
  </w:style>
  <w:style w:type="character" w:customStyle="1" w:styleId="10">
    <w:name w:val="标题 1 字符"/>
    <w:basedOn w:val="a0"/>
    <w:link w:val="1"/>
    <w:uiPriority w:val="9"/>
    <w:rsid w:val="00326A9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9">
    <w:name w:val="Title"/>
    <w:basedOn w:val="a"/>
    <w:next w:val="a"/>
    <w:link w:val="aa"/>
    <w:uiPriority w:val="10"/>
    <w:qFormat/>
    <w:rsid w:val="00326A9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326A9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9403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403A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59403A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403A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b">
    <w:name w:val="Revision"/>
    <w:hidden/>
    <w:uiPriority w:val="99"/>
    <w:semiHidden/>
    <w:rsid w:val="00C86D57"/>
    <w:rPr>
      <w:rFonts w:ascii="Times New Roman" w:eastAsia="宋体" w:hAnsi="Times New Roman" w:cs="Times New Roman"/>
      <w:sz w:val="24"/>
      <w:szCs w:val="24"/>
    </w:rPr>
  </w:style>
  <w:style w:type="paragraph" w:styleId="2">
    <w:name w:val="heading 2"/>
    <w:basedOn w:val="Normal"/>
    <w:next w:val="Normal"/>
    <w:uiPriority w:val="9"/>
    <w:qFormat/>
    <w:pPr>
      <w:keepNext/>
      <w:spacing w:before="180" w:after="100"/>
      <w:outlineLvl w:val="1"/>
    </w:pPr>
    <w:rPr>
      <w:rFonts w:ascii="黑体" w:hAnsi="黑体" w:eastAsia="黑体"/>
      <w:b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BE35B852C24A9F8D1A829167D5593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0610812-7280-4282-9E7E-EC6A404F236A}"/>
      </w:docPartPr>
      <w:docPartBody>
        <w:p w:rsidR="00E55F99" w:rsidRDefault="00BD1AA5" w:rsidP="00BD1AA5">
          <w:pPr>
            <w:pStyle w:val="64BE35B852C24A9F8D1A829167D55932"/>
            <w:rPr>
              <w:rFonts w:hint="eastAsia"/>
            </w:rPr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8379692B000F4DDBAE58465CFCBE96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FA6CE0-0212-46A4-B2ED-8076AE5D5855}"/>
      </w:docPartPr>
      <w:docPartBody>
        <w:p w:rsidR="00E55F99" w:rsidRDefault="00BD1AA5" w:rsidP="00BD1AA5">
          <w:pPr>
            <w:pStyle w:val="8379692B000F4DDBAE58465CFCBE965C"/>
            <w:rPr>
              <w:rFonts w:hint="eastAsia"/>
            </w:rPr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DABA85848ABD4BBA8E3260214B84D5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0909ABB-323F-4D8F-98ED-CE0E826056EC}"/>
      </w:docPartPr>
      <w:docPartBody>
        <w:p w:rsidR="00E55F99" w:rsidRDefault="00BD1AA5" w:rsidP="00BD1AA5">
          <w:pPr>
            <w:pStyle w:val="DABA85848ABD4BBA8E3260214B84D5E7"/>
            <w:rPr>
              <w:rFonts w:hint="eastAsia"/>
            </w:rPr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A5"/>
    <w:rsid w:val="001B0E8B"/>
    <w:rsid w:val="001B19FD"/>
    <w:rsid w:val="001D737E"/>
    <w:rsid w:val="003028B3"/>
    <w:rsid w:val="005404AE"/>
    <w:rsid w:val="00663DB0"/>
    <w:rsid w:val="006B2CBA"/>
    <w:rsid w:val="00AA72C5"/>
    <w:rsid w:val="00AB3DB4"/>
    <w:rsid w:val="00B24060"/>
    <w:rsid w:val="00BD1AA5"/>
    <w:rsid w:val="00E55F99"/>
    <w:rsid w:val="00F7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4BE35B852C24A9F8D1A829167D55932">
    <w:name w:val="64BE35B852C24A9F8D1A829167D55932"/>
    <w:rsid w:val="00BD1AA5"/>
    <w:pPr>
      <w:widowControl w:val="0"/>
      <w:jc w:val="both"/>
    </w:pPr>
  </w:style>
  <w:style w:type="paragraph" w:customStyle="1" w:styleId="8379692B000F4DDBAE58465CFCBE965C">
    <w:name w:val="8379692B000F4DDBAE58465CFCBE965C"/>
    <w:rsid w:val="00BD1AA5"/>
    <w:pPr>
      <w:widowControl w:val="0"/>
      <w:jc w:val="both"/>
    </w:pPr>
  </w:style>
  <w:style w:type="paragraph" w:customStyle="1" w:styleId="DABA85848ABD4BBA8E3260214B84D5E7">
    <w:name w:val="DABA85848ABD4BBA8E3260214B84D5E7"/>
    <w:rsid w:val="00BD1AA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F6E7B-44B5-4D95-B2F5-2B5DA54BB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205</Words>
  <Characters>324</Characters>
  <Application>Microsoft Office Word</Application>
  <DocSecurity>0</DocSecurity>
  <Lines>27</Lines>
  <Paragraphs>29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GreenTwin 项目背景说明</dc:title>
  <dc:subject>兰考县和美乡村数字孪生决策平台</dc:subject>
  <dc:creator>yu xin</dc:creator>
  <cp:keywords/>
  <dc:description/>
  <cp:lastModifiedBy>y w</cp:lastModifiedBy>
  <cp:revision>20</cp:revision>
  <dcterms:created xsi:type="dcterms:W3CDTF">2023-02-16T04:53:00Z</dcterms:created>
  <dcterms:modified xsi:type="dcterms:W3CDTF">2026-01-20T06:50:00Z</dcterms:modified>
</cp:coreProperties>
</file>