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center"/>
      </w:pPr>
      <w:r>
        <w:rPr>
          <w:rFonts w:ascii="黑体" w:hAnsi="黑体" w:eastAsia="黑体"/>
          <w:b/>
          <w:sz w:val="32"/>
        </w:rPr>
        <w:t>立卷申请书</w:t>
      </w:r>
    </w:p>
    <w:p>
      <w:pPr>
        <w:spacing w:before="8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广东连越（深圳）律师事务所：</w:t>
      </w:r>
    </w:p>
    <w:p>
      <w:pPr>
        <w:spacing w:before="0" w:after="40" w:line="276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本人承办的（（2026）粤连越深圳民字第0001号+赵某丁）案件已办结，符合归档条件，现申请立卷归档。归档材料如下：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编码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材料名称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民事委托代理合同 p1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收费发票 p2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授权委托书 p3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民事起诉状 p4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证据材料 p5-7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民事调解书 p8-9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结案报告 p10</w:t>
            </w:r>
          </w:p>
        </w:tc>
      </w:tr>
    </w:tbl>
    <w:p>
      <w:pPr>
        <w:spacing w:before="3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经办律师（签字）：______________　　（孙律师）</w:t>
      </w:r>
    </w:p>
    <w:p>
      <w:pPr>
        <w:spacing w:before="12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年　　月　　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