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先予执行申请书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请求贵院依法裁定被申请人先予支付申请人________（款项性质）人民币________元。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申请人与被申请人因{{CAUSE}}纠纷一案，已由{{COURT}}于________年____月____日立案受理，案号为（{{YEAR}}）粤________民初________号。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本案属于《中华人民共和国民事诉讼法》第一百零九条规定的________（追索劳动报酬／追索医疗费用等）案件。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申请人与被申请人之间的权利义务关系明确，申请人的该项请求已有________予以证明。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申请人不先予执行将严重影响其________（生活／生产经营），具体情形为：________。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一百零九条规定，人民法院对追索赡养费、扶养费、抚养费、抚恤金、医疗费用的案件，追索劳动报酬的案件，以及因情况紧急需要先予执行的案件，根据当事人的申请，可以裁定先予执行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第一百一十条规定，人民法院裁定先予执行的，应当符合当事人之间权利义务关系明确，不先予执行将严重影响申请人的生活或者生产经营，且被申请人有履行能力等条件。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如不予准许，申请人的基本生活将难以维持。被申请人具备履行能力，其财产状况为________。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一、证明权利义务关系明确的证据（________）；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二、申请人生活或生产经营困难的证明材料。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先予执行申请书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