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管辖异议申请书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异议人（被告）：{{DEFENDANT}}，________，住________，联系电话________。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原告：{{PLAINTIFF}}，________，住________，联系电话________。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请求贵院依法裁定将本案移送至________人民法院审理。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异议人为（{{YEAR}}）粤________民初________号案件的被告，于________年____月____日收到起诉状副本。异议人现处于提交答辩状期间，特提出管辖异议。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贵院对本案无管辖权。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理由为：________（被告住所地与合同履行地均不在贵院辖区／双方已有效约定由________人民法院管辖／本案属专属管辖，应由________人民法院管辖）。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具体事实与依据为：________。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中华人民共和国民事诉讼法》第一百三十条规定，人民法院受理案件后，当事人对管辖权有异议的，应当在提交答辩状期间提出。人民法院对当事人提出的异议，应当审查。异议成立的，裁定将案件移送有管辖权的人民法院；异议不成立的，裁定驳回。当事人未提出管辖异议，并应诉答辩或者提出反诉的，视为受诉人民法院有管辖权，但违反级别管辖和专属管辖规定的除外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本案由无管辖权的法院审理，不符合法定程序，可能影响裁判结果的合法性。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综上，恳请贵院依法准许。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异议人：________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一、证明无管辖权的材料（如管辖条款所在合同页）；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二、异议人主体资格材料。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管辖异议申请书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