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center"/>
      </w:pPr>
      <w:r>
        <w:rPr>
          <w:rFonts w:ascii="黑体" w:hAnsi="黑体" w:eastAsia="黑体"/>
          <w:b/>
          <w:sz w:val="32"/>
        </w:rPr>
        <w:t>结案报告</w:t>
      </w:r>
    </w:p>
    <w:p>
      <w:pPr>
        <w:spacing w:before="60" w:after="40" w:line="276" w:lineRule="auto"/>
        <w:jc w:val="left"/>
      </w:pPr>
      <w:r>
        <w:rPr>
          <w:rFonts w:ascii="仿宋" w:hAnsi="仿宋" w:eastAsia="仿宋"/>
          <w:b w:val="0"/>
          <w:sz w:val="24"/>
        </w:rPr>
        <w:t>一、当事人/委托人：赵某丁</w:t>
      </w:r>
    </w:p>
    <w:p>
      <w:pPr>
        <w:spacing w:before="60" w:after="40" w:line="276" w:lineRule="auto"/>
        <w:jc w:val="left"/>
      </w:pPr>
      <w:r>
        <w:rPr>
          <w:rFonts w:ascii="仿宋" w:hAnsi="仿宋" w:eastAsia="仿宋"/>
          <w:b w:val="0"/>
          <w:sz w:val="24"/>
        </w:rPr>
        <w:t>对方当事人：钱某戊</w:t>
      </w:r>
    </w:p>
    <w:p>
      <w:pPr>
        <w:spacing w:before="60" w:after="40" w:line="276" w:lineRule="auto"/>
        <w:jc w:val="left"/>
      </w:pPr>
      <w:r>
        <w:rPr>
          <w:rFonts w:ascii="仿宋" w:hAnsi="仿宋" w:eastAsia="仿宋"/>
          <w:b w:val="0"/>
          <w:sz w:val="24"/>
        </w:rPr>
        <w:t>二、委托日期：2026-01-05</w:t>
      </w:r>
    </w:p>
    <w:p>
      <w:pPr>
        <w:spacing w:before="60" w:after="40" w:line="276" w:lineRule="auto"/>
        <w:jc w:val="left"/>
      </w:pPr>
      <w:r>
        <w:rPr>
          <w:rFonts w:ascii="仿宋" w:hAnsi="仿宋" w:eastAsia="仿宋"/>
          <w:b w:val="0"/>
          <w:sz w:val="24"/>
        </w:rPr>
        <w:t>三、结案日期：2026-06-30</w:t>
      </w:r>
    </w:p>
    <w:p>
      <w:pPr>
        <w:spacing w:before="60" w:after="40" w:line="276" w:lineRule="auto"/>
        <w:jc w:val="left"/>
      </w:pPr>
      <w:r>
        <w:rPr>
          <w:rFonts w:ascii="仿宋" w:hAnsi="仿宋" w:eastAsia="仿宋"/>
          <w:b w:val="0"/>
          <w:sz w:val="24"/>
        </w:rPr>
        <w:t>四、承办律师：孙律师</w:t>
      </w:r>
    </w:p>
    <w:p>
      <w:pPr>
        <w:spacing w:before="60" w:after="40" w:line="276" w:lineRule="auto"/>
        <w:jc w:val="left"/>
      </w:pPr>
      <w:r>
        <w:rPr>
          <w:rFonts w:ascii="仿宋" w:hAnsi="仿宋" w:eastAsia="仿宋"/>
          <w:b w:val="0"/>
          <w:sz w:val="24"/>
        </w:rPr>
        <w:t>五、案由：买卖合同纠纷</w:t>
      </w:r>
    </w:p>
    <w:p>
      <w:pPr>
        <w:spacing w:before="60" w:after="40" w:line="276" w:lineRule="auto"/>
        <w:jc w:val="left"/>
      </w:pPr>
      <w:r>
        <w:rPr>
          <w:rFonts w:ascii="仿宋" w:hAnsi="仿宋" w:eastAsia="仿宋"/>
          <w:b w:val="0"/>
          <w:sz w:val="24"/>
        </w:rPr>
        <w:t>六、案情简介：委托人与钱某戊因货款发生争议，委托人起诉要求支付货款。</w:t>
      </w:r>
    </w:p>
    <w:p>
      <w:pPr>
        <w:spacing w:before="60" w:after="40" w:line="276" w:lineRule="auto"/>
        <w:jc w:val="left"/>
      </w:pPr>
      <w:r>
        <w:rPr>
          <w:rFonts w:ascii="仿宋" w:hAnsi="仿宋" w:eastAsia="仿宋"/>
          <w:b w:val="0"/>
          <w:sz w:val="24"/>
        </w:rPr>
        <w:t>七、承办律师分析与意见：委托人有权向钱某戊主张货款，经法院主持达成调解。</w:t>
      </w:r>
    </w:p>
    <w:p>
      <w:pPr>
        <w:spacing w:before="60" w:after="40" w:line="276" w:lineRule="auto"/>
        <w:jc w:val="left"/>
      </w:pPr>
      <w:r>
        <w:rPr>
          <w:rFonts w:ascii="仿宋" w:hAnsi="仿宋" w:eastAsia="仿宋"/>
          <w:b w:val="0"/>
          <w:sz w:val="24"/>
        </w:rPr>
        <w:t>八、办案结果：调解</w:t>
      </w:r>
    </w:p>
    <w:sectPr w:rsidR="00FC693F" w:rsidRPr="0006063C" w:rsidSect="00034616">
      <w:pgSz w:w="12240" w:h="15840"/>
      <w:pgMar w:top="1134" w:right="1134" w:bottom="102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