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Dimensionality Reduction Technique Write-Up — Template</w:t>
      </w:r>
    </w:p>
    <w:p>
      <w:pPr>
        <w:pBdr>
          <w:bottom w:val="single" w:color="BFC9D4" w:sz="6" w:space="6"/>
        </w:pBdr>
        <w:spacing w:after="240"/>
      </w:pPr>
      <w:r>
        <w:rPr>
          <w:i/>
          <w:iCs/>
          <w:color w:val="595959"/>
          <w:sz w:val="21"/>
          <w:szCs w:val="21"/>
        </w:rPr>
        <w:t xml:space="preserve">AquaBlend · Analysis &amp; AI · Word equivalent of template/dimreduction_template.tex</w:t>
      </w:r>
    </w:p>
    <w:p>
      <w:pPr>
        <w:shd w:fill="F2F5F8" w:color="auto" w:val="clear"/>
        <w:spacing w:after="140"/>
        <w:ind w:left="200" w:right="200"/>
      </w:pPr>
      <w:r>
        <w:rPr>
          <w:b/>
          <w:bCs/>
          <w:color w:val="1F3A5F"/>
          <w:sz w:val="24"/>
          <w:szCs w:val="24"/>
        </w:rPr>
        <w:t xml:space="preserve">How to use this template</w:t>
      </w:r>
    </w:p>
    <w:p>
      <w:pPr>
        <w:spacing w:after="120"/>
      </w:pPr>
      <w:r>
        <w:rPr>
          <w:sz w:val="21"/>
          <w:szCs w:val="21"/>
        </w:rPr>
        <w:t xml:space="preserve">Copy this file — do not edit it in place. Save your copy as dimensionality/&lt;linear|nonlinear&gt;/NN-&lt;name&gt;, and hand it to whoever assembles the document.</w:t>
      </w:r>
    </w:p>
    <w:p>
      <w:pPr>
        <w:spacing w:after="120"/>
      </w:pPr>
      <w:r>
        <w:rPr>
          <w:sz w:val="21"/>
          <w:szCs w:val="21"/>
        </w:rPr>
        <w:t xml:space="preserve">Keep the twelve parts in the order given. The comparison section aggregates across techniques part by part, so a merged or renamed part cannot be compared with the others.</w:t>
      </w:r>
    </w:p>
    <w:p>
      <w:pPr>
        <w:spacing w:after="120"/>
      </w:pPr>
      <w:r>
        <w:rPr>
          <w:sz w:val="21"/>
          <w:szCs w:val="21"/>
        </w:rPr>
        <w:t xml:space="preserve">Heading levels are deliberate. The name is Heading 3 and the parts are Heading 4, so the file assembles into the document at the right depth. Do not change them.</w:t>
      </w:r>
    </w:p>
    <w:p>
      <w:pPr>
        <w:shd w:fill="F2F5F8" w:color="auto" w:val="clear"/>
        <w:spacing w:after="140"/>
        <w:ind w:left="200" w:right="200"/>
      </w:pPr>
      <w:r>
        <w:rPr>
          <w:b/>
          <w:bCs/>
          <w:color w:val="1F3A5F"/>
          <w:sz w:val="24"/>
          <w:szCs w:val="24"/>
        </w:rPr>
        <w:t xml:space="preserve">Cross-references and shared material</w:t>
      </w:r>
    </w:p>
    <w:p>
      <w:pPr>
        <w:spacing w:after="120"/>
      </w:pPr>
      <w:r>
        <w:rPr>
          <w:sz w:val="21"/>
          <w:szCs w:val="21"/>
        </w:rPr>
        <w:t xml:space="preserve">Where the LaTeX template points at a label, refer to the section by name instead and let the assembler insert the reference. Do not restate shared material — the dataset, the preprocessing pipeline, the evaluation protocol — refer to the section that defines it.</w:t>
      </w:r>
    </w:p>
    <w:p>
      <w:pPr>
        <w:spacing w:after="120"/>
      </w:pPr>
      <w:r>
        <w:rPr>
          <w:sz w:val="21"/>
          <w:szCs w:val="21"/>
        </w:rPr>
        <w:t xml:space="preserve">Use the symbols declared in the shared notation table. Do not introduce private notation.</w:t>
      </w:r>
    </w:p>
    <w:p>
      <w:pPr>
        <w:shd w:fill="F2F5F8" w:color="auto" w:val="clear"/>
        <w:spacing w:after="140"/>
        <w:ind w:left="200" w:right="200"/>
      </w:pPr>
      <w:r>
        <w:rPr>
          <w:b/>
          <w:bCs/>
          <w:color w:val="1F3A5F"/>
          <w:sz w:val="24"/>
          <w:szCs w:val="24"/>
        </w:rPr>
        <w:t xml:space="preserve">References — declare, then cite</w:t>
      </w:r>
    </w:p>
    <w:p>
      <w:pPr>
        <w:spacing w:after="120"/>
      </w:pPr>
      <w:r>
        <w:rPr>
          <w:sz w:val="21"/>
          <w:szCs w:val="21"/>
        </w:rPr>
        <w:t xml:space="preserve">Every source you use is declared in the shared citation key mapping sheet, and nowhere else. Everyone's references go in the same sheet: https://deakin365-my.sharepoint.com/:x:/g/personal/s224236373_deakin_edu_au/IQDSW3PBbHhZSq6vzGGQqi3WAbgJ1id1-t02k5B6fduX5Ys?e=nShY5e</w:t>
      </w:r>
    </w:p>
    <w:p>
      <w:pPr>
        <w:spacing w:after="120"/>
      </w:pPr>
      <w:r>
        <w:rPr>
          <w:sz w:val="21"/>
          <w:szCs w:val="21"/>
        </w:rPr>
        <w:t xml:space="preserve">Each entry there carries a key of the form ref_&lt;n&gt;. Refer to a source by that key in your text — "the objective of ref_12" — and list it in the References part at the end of this template. The document lead turns those keys into the document's citations; do not edit literature.bib yourself, and do not invent your own key.</w:t>
      </w:r>
    </w:p>
    <w:p>
      <w:pPr>
        <w:spacing w:after="120"/>
      </w:pPr>
      <w:r>
        <w:rPr>
          <w:sz w:val="21"/>
          <w:szCs w:val="21"/>
        </w:rPr>
        <w:t xml:space="preserve">Cite in the part where the claim is made, not in a lump at the end. Every formulation, every published result and every parameter value taken from the literature carries its own reference.</w:t>
      </w:r>
    </w:p>
    <w:p>
      <w:pPr>
        <w:shd w:fill="F2F5F8" w:color="auto" w:val="clear"/>
        <w:spacing w:after="140"/>
        <w:ind w:left="200" w:right="200"/>
      </w:pPr>
      <w:r>
        <w:rPr>
          <w:b/>
          <w:bCs/>
          <w:color w:val="1F3A5F"/>
          <w:sz w:val="24"/>
          <w:szCs w:val="24"/>
        </w:rPr>
        <w:t xml:space="preserve">Academic integrity</w:t>
      </w:r>
    </w:p>
    <w:p>
      <w:pPr>
        <w:spacing w:after="120"/>
      </w:pPr>
      <w:r>
        <w:rPr>
          <w:sz w:val="21"/>
          <w:szCs w:val="21"/>
        </w:rPr>
        <w:t xml:space="preserve">An uncited claim, figure, equation, table or code fragment is plagiarism, whether it came from a paper, a library's documentation, a teammate, or a generative AI tool. Quote and cite it, or write it yourself. Declare AI assistance as Deakin policy requires.</w:t>
      </w:r>
    </w:p>
    <w:p>
      <w:pPr>
        <w:spacing w:after="120"/>
      </w:pPr>
      <w:r>
        <w:rPr>
          <w:sz w:val="21"/>
          <w:szCs w:val="21"/>
        </w:rPr>
        <w:t xml:space="preserve">Before opening the pull request, run your section through Turnitin. Do not commit the report — the repository is not where it belongs. Paste the similarity summary into the pull request as an image, or send it to the document lead privately; the lead may also run the check later. Turnitin is available to Deakin students. Policy and procedure: https://d2l.deakin.edu.au/d2l/le/content/93067/viewContent/5882569/View</w:t>
      </w:r>
    </w:p>
    <w:p>
      <w:pPr>
        <w:pStyle w:val="Heading3"/>
      </w:pPr>
      <w:r>
        <w:t xml:space="preserve">&lt;TECHNIQUE NAME&gt;</w:t>
      </w:r>
    </w:p>
    <w:p>
      <w:pPr>
        <w:pBdr>
          <w:bottom w:val="single" w:color="BFC9D4" w:sz="6" w:space="6"/>
        </w:pBdr>
        <w:spacing w:after="60"/>
      </w:pPr>
      <w:r>
        <w:rPr>
          <w:i/>
          <w:iCs/>
          <w:color w:val="595959"/>
          <w:sz w:val="20"/>
          <w:szCs w:val="20"/>
        </w:rPr>
        <w:t xml:space="preserve">Author: &lt;your name&gt;   ·   Type: &lt;linear | nonlinear&gt;   ·   Draft: v0.1   ·   Date: &lt;date&gt;</w:t>
      </w:r>
    </w:p>
    <w:p>
      <w:pPr>
        <w:pStyle w:val="Heading4"/>
      </w:pPr>
      <w:r>
        <w:t xml:space="preserve">1. Overview</w:t>
      </w:r>
    </w:p>
    <w:p>
      <w:pPr>
        <w:spacing w:after="200" w:before="60"/>
      </w:pPr>
      <w:r>
        <w:rPr>
          <w:i/>
          <w:iCs/>
          <w:color w:val="595959"/>
          <w:sz w:val="21"/>
          <w:szCs w:val="21"/>
        </w:rPr>
        <w:t xml:space="preserve">[What the technique does, in one paragraph: what it maps from, what it maps to, and what it tries to preserve. State whether it is linear or nonlinear, and for a nonlinear technique, its relation to the manifold hypothesis.]</w:t>
      </w:r>
    </w:p>
    <w:p>
      <w:pPr>
        <w:pStyle w:val="Heading4"/>
      </w:pPr>
      <w:r>
        <w:t xml:space="preserve">2. Assumptions and applicability</w:t>
      </w:r>
    </w:p>
    <w:p>
      <w:pPr>
        <w:spacing w:after="200" w:before="60"/>
      </w:pPr>
      <w:r>
        <w:rPr>
          <w:i/>
          <w:iCs/>
          <w:color w:val="595959"/>
          <w:sz w:val="21"/>
          <w:szCs w:val="21"/>
        </w:rPr>
        <w:t xml:space="preserve">[What the technique assumes — linearity, local versus global structure, density, scale, noise — and when it is a sensible choice for our data. State explicitly whether it is intended for visualisation, for reducing input to a clustering method, or for both: these are different jobs.]</w:t>
      </w:r>
    </w:p>
    <w:p>
      <w:pPr>
        <w:pStyle w:val="Heading4"/>
      </w:pPr>
      <w:r>
        <w:t xml:space="preserve">3. Formulation</w:t>
      </w:r>
    </w:p>
    <w:p>
      <w:pPr>
        <w:spacing w:after="200" w:before="60"/>
      </w:pPr>
      <w:r>
        <w:rPr>
          <w:i/>
          <w:iCs/>
          <w:color w:val="595959"/>
          <w:sz w:val="21"/>
          <w:szCs w:val="21"/>
        </w:rPr>
        <w:t xml:space="preserve">[The objective being optimised and the mapping obtained, using the shared notation. Cite the original source.]</w:t>
      </w:r>
    </w:p>
    <w:p>
      <w:pPr>
        <w:pStyle w:val="Heading4"/>
      </w:pPr>
      <w:r>
        <w:t xml:space="preserve">4. Out-of-sample and inverse mapping</w:t>
      </w:r>
    </w:p>
    <w:p>
      <w:pPr>
        <w:spacing w:after="200" w:before="60"/>
      </w:pPr>
      <w:r>
        <w:rPr>
          <w:i/>
          <w:iCs/>
          <w:color w:val="595959"/>
          <w:sz w:val="21"/>
          <w:szCs w:val="21"/>
        </w:rPr>
        <w:t xml:space="preserve">[Two questions, answered explicitly. Is the technique inductive or transductive — does the learned mapping apply to observations unseen during fitting, or does it embed only the fitted sample? And does an inverse mapping exist, so a component can be read back in terms of the measured features? If not, say where the interpretation will come from instead.]</w:t>
      </w:r>
    </w:p>
    <w:p>
      <w:pPr>
        <w:pStyle w:val="Heading4"/>
      </w:pPr>
      <w:r>
        <w:t xml:space="preserve">5. Hyperparameters and tuning</w:t>
      </w:r>
    </w:p>
    <w:p>
      <w:pPr>
        <w:spacing w:after="200" w:before="60"/>
      </w:pPr>
      <w:r>
        <w:rPr>
          <w:i/>
          <w:iCs/>
          <w:color w:val="595959"/>
          <w:sz w:val="21"/>
          <w:szCs w:val="21"/>
        </w:rPr>
        <w:t xml:space="preserve">[Every hyperparameter, the range searched, and the value selected — each with the reason.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rPr>
          <w:tblHeader/>
        </w:trPr>
        <w:tc>
          <w:tcPr>
            <w:tcW w:type="dxa" w:w="2200"/>
            <w:shd w:fill="1F3A5F" w:color="auto" w:val="clear"/>
            <w:tcMar>
              <w:top w:type="dxa" w:w="80"/>
              <w:left w:type="dxa" w:w="100"/>
              <w:bottom w:type="dxa" w:w="80"/>
              <w:right w:type="dxa" w:w="100"/>
            </w:tcMar>
          </w:tcPr>
          <w:p>
            <w:r>
              <w:rPr>
                <w:b/>
                <w:bCs/>
                <w:color w:val="FFFFFF"/>
                <w:sz w:val="20"/>
                <w:szCs w:val="20"/>
              </w:rPr>
              <w:t xml:space="preserve">Hyperparameter</w:t>
            </w:r>
          </w:p>
        </w:tc>
        <w:tc>
          <w:tcPr>
            <w:tcW w:type="dxa" w:w="2200"/>
            <w:shd w:fill="1F3A5F" w:color="auto" w:val="clear"/>
            <w:tcMar>
              <w:top w:type="dxa" w:w="80"/>
              <w:left w:type="dxa" w:w="100"/>
              <w:bottom w:type="dxa" w:w="80"/>
              <w:right w:type="dxa" w:w="100"/>
            </w:tcMar>
          </w:tcPr>
          <w:p>
            <w:r>
              <w:rPr>
                <w:b/>
                <w:bCs/>
                <w:color w:val="FFFFFF"/>
                <w:sz w:val="20"/>
                <w:szCs w:val="20"/>
              </w:rPr>
              <w:t xml:space="preserve">Range searched</w:t>
            </w:r>
          </w:p>
        </w:tc>
        <w:tc>
          <w:tcPr>
            <w:tcW w:type="dxa" w:w="1600"/>
            <w:shd w:fill="1F3A5F" w:color="auto" w:val="clear"/>
            <w:tcMar>
              <w:top w:type="dxa" w:w="80"/>
              <w:left w:type="dxa" w:w="100"/>
              <w:bottom w:type="dxa" w:w="80"/>
              <w:right w:type="dxa" w:w="100"/>
            </w:tcMar>
          </w:tcPr>
          <w:p>
            <w:r>
              <w:rPr>
                <w:b/>
                <w:bCs/>
                <w:color w:val="FFFFFF"/>
                <w:sz w:val="20"/>
                <w:szCs w:val="20"/>
              </w:rPr>
              <w:t xml:space="preserve">Value selected</w:t>
            </w:r>
          </w:p>
        </w:tc>
        <w:tc>
          <w:tcPr>
            <w:tcW w:type="dxa" w:w="3000"/>
            <w:shd w:fill="1F3A5F" w:color="auto" w:val="clear"/>
            <w:tcMar>
              <w:top w:type="dxa" w:w="80"/>
              <w:left w:type="dxa" w:w="100"/>
              <w:bottom w:type="dxa" w:w="80"/>
              <w:right w:type="dxa" w:w="100"/>
            </w:tcMar>
          </w:tcPr>
          <w:p>
            <w:r>
              <w:rPr>
                <w:b/>
                <w:bCs/>
                <w:color w:val="FFFFFF"/>
                <w:sz w:val="20"/>
                <w:szCs w:val="20"/>
              </w:rPr>
              <w:t xml:space="preserve">Reason for the choice</w:t>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60"/>
      </w:pPr>
    </w:p>
    <w:p>
      <w:pPr>
        <w:pStyle w:val="Heading4"/>
      </w:pPr>
      <w:r>
        <w:t xml:space="preserve">6. Choosing the number of components</w:t>
      </w:r>
    </w:p>
    <w:p>
      <w:pPr>
        <w:spacing w:after="200" w:before="60"/>
      </w:pPr>
      <w:r>
        <w:rPr>
          <w:i/>
          <w:iCs/>
          <w:color w:val="595959"/>
          <w:sz w:val="21"/>
          <w:szCs w:val="21"/>
        </w:rPr>
        <w:t xml:space="preserve">[How the target dimension was chosen and on what evidence: explained variance, an intrinsic dimension estimate, reconstruction error, or a downstream requirement. Choosing two because two is what plots is legitimate for a figure and not for an analysis — if that is the reason, say so.]</w:t>
      </w:r>
    </w:p>
    <w:p>
      <w:pPr>
        <w:pStyle w:val="Heading4"/>
      </w:pPr>
      <w:r>
        <w:t xml:space="preserve">7. Complexity</w:t>
      </w:r>
    </w:p>
    <w:p>
      <w:pPr>
        <w:spacing w:after="200" w:before="60"/>
      </w:pPr>
      <w:r>
        <w:rPr>
          <w:i/>
          <w:iCs/>
          <w:color w:val="595959"/>
          <w:sz w:val="21"/>
          <w:szCs w:val="21"/>
        </w:rPr>
        <w:t xml:space="preserve">[Time and space complexity, and what that means at AquaBlend data volumes. Note any step quadratic in the number of observations, since that decides whether the technique runs on the full dataset or only on a sample.]</w:t>
      </w:r>
    </w:p>
    <w:p>
      <w:pPr>
        <w:pStyle w:val="Heading4"/>
      </w:pPr>
      <w:r>
        <w:t xml:space="preserve">8. Application to AquaBlend data</w:t>
      </w:r>
    </w:p>
    <w:p>
      <w:pPr>
        <w:spacing w:after="200" w:before="60"/>
      </w:pPr>
      <w:r>
        <w:rPr>
          <w:i/>
          <w:iCs/>
          <w:color w:val="595959"/>
          <w:sz w:val="21"/>
          <w:szCs w:val="21"/>
        </w:rPr>
        <w:t xml:space="preserve">[Implementation: library and version, random seeds, and how the run is reproduced. Then any deviation from the shared preprocessing pipeline and why it was necessary — scaling in particular, since most of these techniques are not scale-invariant.]</w:t>
      </w:r>
    </w:p>
    <w:p>
      <w:pPr>
        <w:pStyle w:val="Heading4"/>
      </w:pPr>
      <w:r>
        <w:t xml:space="preserve">9. Results</w:t>
      </w:r>
    </w:p>
    <w:p>
      <w:pPr>
        <w:spacing w:after="200" w:before="60"/>
      </w:pPr>
      <w:r>
        <w:rPr>
          <w:i/>
          <w:iCs/>
          <w:color w:val="595959"/>
          <w:sz w:val="21"/>
          <w:szCs w:val="21"/>
        </w:rPr>
        <w:t xml:space="preserve">[Structure preservation first: how faithfully the embedding represents the input, reported quantitatively — explained variance, trustworthiness, stress, reconstruction error — not by appeal to how a scatter plot looks. Then the effect on downstream clustering: the shared validity measures for the same clustering method fitted with and without this reduction. That is what decides whether the technique earns its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400"/>
      </w:tblGrid>
      <w:tr>
        <w:trPr>
          <w:tblHeader/>
        </w:trPr>
        <w:tc>
          <w:tcPr>
            <w:tcW w:type="dxa" w:w="2400"/>
            <w:shd w:fill="1F3A5F" w:color="auto" w:val="clear"/>
            <w:tcMar>
              <w:top w:type="dxa" w:w="80"/>
              <w:left w:type="dxa" w:w="100"/>
              <w:bottom w:type="dxa" w:w="80"/>
              <w:right w:type="dxa" w:w="100"/>
            </w:tcMar>
          </w:tcPr>
          <w:p>
            <w:r>
              <w:rPr>
                <w:b/>
                <w:bCs/>
                <w:color w:val="FFFFFF"/>
                <w:sz w:val="20"/>
                <w:szCs w:val="20"/>
              </w:rPr>
              <w:t xml:space="preserve">Quantity</w:t>
            </w:r>
          </w:p>
        </w:tc>
        <w:tc>
          <w:tcPr>
            <w:tcW w:type="dxa" w:w="2100"/>
            <w:shd w:fill="1F3A5F" w:color="auto" w:val="clear"/>
            <w:tcMar>
              <w:top w:type="dxa" w:w="80"/>
              <w:left w:type="dxa" w:w="100"/>
              <w:bottom w:type="dxa" w:w="80"/>
              <w:right w:type="dxa" w:w="100"/>
            </w:tcMar>
          </w:tcPr>
          <w:p>
            <w:r>
              <w:rPr>
                <w:b/>
                <w:bCs/>
                <w:color w:val="FFFFFF"/>
                <w:sz w:val="20"/>
                <w:szCs w:val="20"/>
              </w:rPr>
              <w:t xml:space="preserve">Without reduction</w:t>
            </w:r>
          </w:p>
        </w:tc>
        <w:tc>
          <w:tcPr>
            <w:tcW w:type="dxa" w:w="2100"/>
            <w:shd w:fill="1F3A5F" w:color="auto" w:val="clear"/>
            <w:tcMar>
              <w:top w:type="dxa" w:w="80"/>
              <w:left w:type="dxa" w:w="100"/>
              <w:bottom w:type="dxa" w:w="80"/>
              <w:right w:type="dxa" w:w="100"/>
            </w:tcMar>
          </w:tcPr>
          <w:p>
            <w:r>
              <w:rPr>
                <w:b/>
                <w:bCs/>
                <w:color w:val="FFFFFF"/>
                <w:sz w:val="20"/>
                <w:szCs w:val="20"/>
              </w:rPr>
              <w:t xml:space="preserve">With reduction</w:t>
            </w:r>
          </w:p>
        </w:tc>
        <w:tc>
          <w:tcPr>
            <w:tcW w:type="dxa" w:w="2400"/>
            <w:shd w:fill="1F3A5F" w:color="auto" w:val="clear"/>
            <w:tcMar>
              <w:top w:type="dxa" w:w="80"/>
              <w:left w:type="dxa" w:w="100"/>
              <w:bottom w:type="dxa" w:w="80"/>
              <w:right w:type="dxa" w:w="100"/>
            </w:tcMar>
          </w:tcPr>
          <w:p>
            <w:r>
              <w:rPr>
                <w:b/>
                <w:bCs/>
                <w:color w:val="FFFFFF"/>
                <w:sz w:val="20"/>
                <w:szCs w:val="20"/>
              </w:rPr>
              <w:t xml:space="preserve">Reading</w:t>
            </w:r>
          </w:p>
        </w:tc>
      </w:tr>
      <w:tr>
        <w:tc>
          <w:tcPr>
            <w:tcW w:type="dxa" w:w="24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400"/>
            <w:tcMar>
              <w:top w:type="dxa" w:w="80"/>
              <w:left w:type="dxa" w:w="100"/>
              <w:bottom w:type="dxa" w:w="80"/>
              <w:right w:type="dxa" w:w="100"/>
            </w:tcMar>
          </w:tcPr>
          <w:p>
            <w:r>
              <w:rPr>
                <w:sz w:val="20"/>
                <w:szCs w:val="20"/>
              </w:rPr>
              <w:t xml:space="preserve"/>
            </w:r>
          </w:p>
        </w:tc>
      </w:tr>
      <w:tr>
        <w:tc>
          <w:tcPr>
            <w:tcW w:type="dxa" w:w="24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400"/>
            <w:tcMar>
              <w:top w:type="dxa" w:w="80"/>
              <w:left w:type="dxa" w:w="100"/>
              <w:bottom w:type="dxa" w:w="80"/>
              <w:right w:type="dxa" w:w="100"/>
            </w:tcMar>
          </w:tcPr>
          <w:p>
            <w:r>
              <w:rPr>
                <w:sz w:val="20"/>
                <w:szCs w:val="20"/>
              </w:rPr>
              <w:t xml:space="preserve"/>
            </w:r>
          </w:p>
        </w:tc>
      </w:tr>
      <w:tr>
        <w:tc>
          <w:tcPr>
            <w:tcW w:type="dxa" w:w="24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100"/>
            <w:tcMar>
              <w:top w:type="dxa" w:w="80"/>
              <w:left w:type="dxa" w:w="100"/>
              <w:bottom w:type="dxa" w:w="80"/>
              <w:right w:type="dxa" w:w="100"/>
            </w:tcMar>
          </w:tcPr>
          <w:p>
            <w:r>
              <w:rPr>
                <w:sz w:val="20"/>
                <w:szCs w:val="20"/>
              </w:rPr>
              <w:t xml:space="preserve"/>
            </w:r>
          </w:p>
        </w:tc>
        <w:tc>
          <w:tcPr>
            <w:tcW w:type="dxa" w:w="2400"/>
            <w:tcMar>
              <w:top w:type="dxa" w:w="80"/>
              <w:left w:type="dxa" w:w="100"/>
              <w:bottom w:type="dxa" w:w="80"/>
              <w:right w:type="dxa" w:w="100"/>
            </w:tcMar>
          </w:tcPr>
          <w:p>
            <w:r>
              <w:rPr>
                <w:sz w:val="20"/>
                <w:szCs w:val="20"/>
              </w:rPr>
              <w:t xml:space="preserve"/>
            </w:r>
          </w:p>
        </w:tc>
      </w:tr>
    </w:tbl>
    <w:p>
      <w:pPr>
        <w:spacing w:after="160"/>
      </w:pPr>
    </w:p>
    <w:p>
      <w:pPr>
        <w:pStyle w:val="Heading4"/>
      </w:pPr>
      <w:r>
        <w:t xml:space="preserve">10. Limitations</w:t>
      </w:r>
    </w:p>
    <w:p>
      <w:pPr>
        <w:spacing w:after="200" w:before="60"/>
      </w:pPr>
      <w:r>
        <w:rPr>
          <w:i/>
          <w:iCs/>
          <w:color w:val="595959"/>
          <w:sz w:val="21"/>
          <w:szCs w:val="21"/>
        </w:rPr>
        <w:t xml:space="preserve">[Where this technique distorted the data, or would be expected to. Distinguish what was observed from what is known from the literature. For nonlinear techniques, state plainly which properties of the embedding must not be read as properties of the data — typically inter-cluster distances, relative cluster sizes, and apparent density.]</w:t>
      </w:r>
    </w:p>
    <w:p>
      <w:pPr>
        <w:pStyle w:val="Heading4"/>
      </w:pPr>
      <w:r>
        <w:t xml:space="preserve">11. Summary</w:t>
      </w:r>
    </w:p>
    <w:p>
      <w:pPr>
        <w:spacing w:after="200" w:before="60"/>
      </w:pPr>
      <w:r>
        <w:rPr>
          <w:i/>
          <w:iCs/>
          <w:color w:val="595959"/>
          <w:sz w:val="21"/>
          <w:szCs w:val="21"/>
        </w:rPr>
        <w:t xml:space="preserve">[Two or three sentences: the verdict, and whether the technique is recommended for visualisation, for the clustering pipeline, for both, or for neither.]</w:t>
      </w:r>
    </w:p>
    <w:p>
      <w:pPr>
        <w:pStyle w:val="Heading4"/>
      </w:pPr>
      <w:r>
        <w:t xml:space="preserve">12. References</w:t>
      </w:r>
    </w:p>
    <w:p>
      <w:pPr>
        <w:spacing w:after="200" w:before="60"/>
      </w:pPr>
      <w:r>
        <w:rPr>
          <w:i/>
          <w:iCs/>
          <w:color w:val="595959"/>
          <w:sz w:val="21"/>
          <w:szCs w:val="21"/>
        </w:rPr>
        <w:t xml:space="preserve">[Every source this write-up draws on, listed by its ref_&lt;n&gt; key from the citation key mapping sheet — including anything you read and did not cite, since a reviewer needs to see what the write-up rests on and not only what it quotes. Declare the source in the sheet first; the key comes from there.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00"/>
            <w:shd w:fill="1F3A5F" w:color="auto" w:val="clear"/>
            <w:tcMar>
              <w:top w:type="dxa" w:w="80"/>
              <w:left w:type="dxa" w:w="100"/>
              <w:bottom w:type="dxa" w:w="80"/>
              <w:right w:type="dxa" w:w="100"/>
            </w:tcMar>
          </w:tcPr>
          <w:p>
            <w:r>
              <w:rPr>
                <w:b/>
                <w:bCs/>
                <w:color w:val="FFFFFF"/>
                <w:sz w:val="20"/>
                <w:szCs w:val="20"/>
              </w:rPr>
              <w:t xml:space="preserve">Ref key</w:t>
            </w:r>
          </w:p>
        </w:tc>
        <w:tc>
          <w:tcPr>
            <w:tcW w:type="dxa" w:w="4800"/>
            <w:shd w:fill="1F3A5F" w:color="auto" w:val="clear"/>
            <w:tcMar>
              <w:top w:type="dxa" w:w="80"/>
              <w:left w:type="dxa" w:w="100"/>
              <w:bottom w:type="dxa" w:w="80"/>
              <w:right w:type="dxa" w:w="100"/>
            </w:tcMar>
          </w:tcPr>
          <w:p>
            <w:r>
              <w:rPr>
                <w:b/>
                <w:bCs/>
                <w:color w:val="FFFFFF"/>
                <w:sz w:val="20"/>
                <w:szCs w:val="20"/>
              </w:rPr>
              <w:t xml:space="preserve">Source (author, year, title)</w:t>
            </w:r>
          </w:p>
        </w:tc>
        <w:tc>
          <w:tcPr>
            <w:tcW w:type="dxa" w:w="3000"/>
            <w:shd w:fill="1F3A5F" w:color="auto" w:val="clear"/>
            <w:tcMar>
              <w:top w:type="dxa" w:w="80"/>
              <w:left w:type="dxa" w:w="100"/>
              <w:bottom w:type="dxa" w:w="80"/>
              <w:right w:type="dxa" w:w="100"/>
            </w:tcMar>
          </w:tcPr>
          <w:p>
            <w:r>
              <w:rPr>
                <w:b/>
                <w:bCs/>
                <w:color w:val="FFFFFF"/>
                <w:sz w:val="20"/>
                <w:szCs w:val="20"/>
              </w:rPr>
              <w:t xml:space="preserve">Where used</w:t>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60"/>
      </w:pPr>
    </w:p>
    <w:p>
      <w:pPr>
        <w:pStyle w:val="Heading3"/>
      </w:pPr>
      <w:r>
        <w:t xml:space="preserve">Before submitting</w:t>
      </w:r>
    </w:p>
    <w:p>
      <w:pPr>
        <w:pStyle w:val="ListParagraph"/>
        <w:spacing w:after="40"/>
        <w:ind w:left="360"/>
      </w:pPr>
      <w:r>
        <w:rPr>
          <w:sz w:val="21"/>
          <w:szCs w:val="21"/>
        </w:rPr>
        <w:t xml:space="preserve">All twelve parts present, in the given order, none merged or renamed.</w:t>
      </w:r>
    </w:p>
    <w:p>
      <w:pPr>
        <w:pStyle w:val="ListParagraph"/>
        <w:spacing w:after="40"/>
        <w:ind w:left="360"/>
      </w:pPr>
      <w:r>
        <w:rPr>
          <w:sz w:val="21"/>
          <w:szCs w:val="21"/>
        </w:rPr>
        <w:t xml:space="preserve">Every bracketed italic prompt deleted.</w:t>
      </w:r>
    </w:p>
    <w:p>
      <w:pPr>
        <w:pStyle w:val="ListParagraph"/>
        <w:spacing w:after="40"/>
        <w:ind w:left="360"/>
      </w:pPr>
      <w:r>
        <w:rPr>
          <w:sz w:val="21"/>
          <w:szCs w:val="21"/>
        </w:rPr>
        <w:t xml:space="preserve">&lt;TECHNIQUE NAME&gt; and the author/type/date line filled in.</w:t>
      </w:r>
    </w:p>
    <w:p>
      <w:pPr>
        <w:pStyle w:val="ListParagraph"/>
        <w:spacing w:after="40"/>
        <w:ind w:left="360"/>
      </w:pPr>
      <w:r>
        <w:rPr>
          <w:sz w:val="21"/>
          <w:szCs w:val="21"/>
        </w:rPr>
        <w:t xml:space="preserve">Inductive or transductive stated explicitly, and matching the code's Capabilities declaration.</w:t>
      </w:r>
    </w:p>
    <w:p>
      <w:pPr>
        <w:pStyle w:val="ListParagraph"/>
        <w:spacing w:after="40"/>
        <w:ind w:left="360"/>
      </w:pPr>
      <w:r>
        <w:rPr>
          <w:sz w:val="21"/>
          <w:szCs w:val="21"/>
        </w:rPr>
        <w:t xml:space="preserve">Number of components justified by evidence, not by convenience.</w:t>
      </w:r>
    </w:p>
    <w:p>
      <w:pPr>
        <w:pStyle w:val="ListParagraph"/>
        <w:spacing w:after="40"/>
        <w:ind w:left="360"/>
      </w:pPr>
      <w:r>
        <w:rPr>
          <w:sz w:val="21"/>
          <w:szCs w:val="21"/>
        </w:rPr>
        <w:t xml:space="preserve">Structure preservation reported quantitatively, not by appearance.</w:t>
      </w:r>
    </w:p>
    <w:p>
      <w:pPr>
        <w:pStyle w:val="ListParagraph"/>
        <w:spacing w:after="40"/>
        <w:ind w:left="360"/>
      </w:pPr>
      <w:r>
        <w:rPr>
          <w:sz w:val="21"/>
          <w:szCs w:val="21"/>
        </w:rPr>
        <w:t xml:space="preserve">Downstream clustering compared with and without the reduction.</w:t>
      </w:r>
    </w:p>
    <w:p>
      <w:pPr>
        <w:pStyle w:val="ListParagraph"/>
        <w:spacing w:after="40"/>
        <w:ind w:left="360"/>
      </w:pPr>
      <w:r>
        <w:rPr>
          <w:sz w:val="21"/>
          <w:szCs w:val="21"/>
        </w:rPr>
        <w:t xml:space="preserve">Notation matches the shared notation table; no private symbols introduced.</w:t>
      </w:r>
    </w:p>
    <w:p>
      <w:pPr>
        <w:pStyle w:val="ListParagraph"/>
        <w:spacing w:after="40"/>
        <w:ind w:left="360"/>
      </w:pPr>
      <w:r>
        <w:rPr>
          <w:sz w:val="21"/>
          <w:szCs w:val="21"/>
        </w:rPr>
        <w:t xml:space="preserve">Original source of the technique cited, in the part where the claim is made.</w:t>
      </w:r>
    </w:p>
    <w:p>
      <w:pPr>
        <w:pStyle w:val="ListParagraph"/>
        <w:spacing w:after="40"/>
        <w:ind w:left="360"/>
      </w:pPr>
      <w:r>
        <w:rPr>
          <w:sz w:val="21"/>
          <w:szCs w:val="21"/>
        </w:rPr>
        <w:t xml:space="preserve">Every source declared in the citation key mapping sheet and referred to by its ref_&lt;n&gt; key.</w:t>
      </w:r>
    </w:p>
    <w:p>
      <w:pPr>
        <w:pStyle w:val="ListParagraph"/>
        <w:spacing w:after="40"/>
        <w:ind w:left="360"/>
      </w:pPr>
      <w:r>
        <w:rPr>
          <w:sz w:val="21"/>
          <w:szCs w:val="21"/>
        </w:rPr>
        <w:t xml:space="preserve">References part filled in, including sources read but not cited.</w:t>
      </w:r>
    </w:p>
    <w:p>
      <w:pPr>
        <w:pStyle w:val="ListParagraph"/>
        <w:spacing w:after="40"/>
        <w:ind w:left="360"/>
      </w:pPr>
      <w:r>
        <w:rPr>
          <w:sz w:val="21"/>
          <w:szCs w:val="21"/>
        </w:rPr>
        <w:t xml:space="preserve">Figures numbered, captioned, and referred to in the text.</w:t>
      </w:r>
    </w:p>
    <w:p>
      <w:pPr>
        <w:pStyle w:val="ListParagraph"/>
        <w:spacing w:after="40"/>
        <w:ind w:left="360"/>
      </w:pPr>
      <w:r>
        <w:rPr>
          <w:sz w:val="21"/>
          <w:szCs w:val="21"/>
        </w:rPr>
        <w:t xml:space="preserve">Headings left at Heading 3 / Heading 4 so the file assembles correctly.</w:t>
      </w:r>
    </w:p>
    <w:p>
      <w:pPr>
        <w:pStyle w:val="ListParagraph"/>
        <w:spacing w:after="40"/>
        <w:ind w:left="360"/>
      </w:pPr>
      <w:r>
        <w:rPr>
          <w:sz w:val="21"/>
          <w:szCs w:val="21"/>
        </w:rPr>
        <w:t xml:space="preserve">AI assistance declared per Deakin policy if used in drafting.</w:t>
      </w:r>
    </w:p>
    <w:p>
      <w:pPr>
        <w:pStyle w:val="ListParagraph"/>
        <w:spacing w:after="40"/>
        <w:ind w:left="360"/>
      </w:pPr>
      <w:r>
        <w:rPr>
          <w:sz w:val="21"/>
          <w:szCs w:val="21"/>
        </w:rPr>
        <w:t xml:space="preserve">Turnitin run; the report shared with the document lead, not committed.</w:t>
      </w:r>
    </w:p>
    <w:p>
      <w:pPr>
        <w:pBdr>
          <w:top w:val="single" w:color="BFC9D4" w:sz="6" w:space="8"/>
        </w:pBdr>
        <w:spacing w:before="300"/>
      </w:pPr>
      <w:r>
        <w:rPr>
          <w:i/>
          <w:iCs/>
          <w:color w:val="595959"/>
          <w:sz w:val="19"/>
          <w:szCs w:val="19"/>
        </w:rPr>
        <w:t xml:space="preserve">This Word template mirrors the LaTeX template of the same name. If the two ever disagree, the LaTeX template in the repository is authoritative.</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2026-07-30T01:19:10.402Z</dcterms:created>
  <dcterms:modified xsi:type="dcterms:W3CDTF">2026-07-30T01:19:10.418Z</dcterms:modified>
</cp:coreProperties>
</file>

<file path=docProps/custom.xml><?xml version="1.0" encoding="utf-8"?>
<Properties xmlns="http://schemas.openxmlformats.org/officeDocument/2006/custom-properties" xmlns:vt="http://schemas.openxmlformats.org/officeDocument/2006/docPropsVTypes"/>
</file>