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3A5F"/>
          <w:sz w:val="34"/>
          <w:szCs w:val="34"/>
        </w:rPr>
        <w:t xml:space="preserve">Measure Write-Up — Template</w:t>
      </w:r>
    </w:p>
    <w:p>
      <w:pPr>
        <w:pBdr>
          <w:bottom w:val="single" w:color="BFC9D4" w:sz="6" w:space="6"/>
        </w:pBdr>
        <w:spacing w:after="240"/>
      </w:pPr>
      <w:r>
        <w:rPr>
          <w:i/>
          <w:iCs/>
          <w:color w:val="595959"/>
          <w:sz w:val="21"/>
          <w:szCs w:val="21"/>
        </w:rPr>
        <w:t xml:space="preserve">AquaBlend · Analysis &amp; AI · Word equivalent of template/measure_template.tex</w:t>
      </w:r>
    </w:p>
    <w:p>
      <w:pPr>
        <w:shd w:fill="F2F5F8" w:color="auto" w:val="clear"/>
        <w:spacing w:after="140"/>
        <w:ind w:left="200" w:right="200"/>
      </w:pPr>
      <w:r>
        <w:rPr>
          <w:b/>
          <w:bCs/>
          <w:color w:val="1F3A5F"/>
          <w:sz w:val="24"/>
          <w:szCs w:val="24"/>
        </w:rPr>
        <w:t xml:space="preserve">How to use this template</w:t>
      </w:r>
    </w:p>
    <w:p>
      <w:pPr>
        <w:spacing w:after="120"/>
      </w:pPr>
      <w:r>
        <w:rPr>
          <w:sz w:val="21"/>
          <w:szCs w:val="21"/>
        </w:rPr>
        <w:t xml:space="preserve">Copy this file — do not edit it in place. Save your copy as clustering_methods/measures/NN-&lt;name&gt;, and hand it to whoever assembles the document.</w:t>
      </w:r>
    </w:p>
    <w:p>
      <w:pPr>
        <w:spacing w:after="120"/>
      </w:pPr>
      <w:r>
        <w:rPr>
          <w:sz w:val="21"/>
          <w:szCs w:val="21"/>
        </w:rPr>
        <w:t xml:space="preserve">Keep the nine parts in the order given. Parts 3 and 4 carry separate prompts for a dissimilarity measure and for a validity index — delete whichever does not apply.</w:t>
      </w:r>
    </w:p>
    <w:p>
      <w:pPr>
        <w:spacing w:after="120"/>
      </w:pPr>
      <w:r>
        <w:rPr>
          <w:sz w:val="21"/>
          <w:szCs w:val="21"/>
        </w:rPr>
        <w:t xml:space="preserve">Heading levels are deliberate. The name is Heading 3 and the parts are Heading 4, so the file assembles into the document at the right depth. Do not change them.</w:t>
      </w:r>
    </w:p>
    <w:p>
      <w:pPr>
        <w:shd w:fill="F2F5F8" w:color="auto" w:val="clear"/>
        <w:spacing w:after="140"/>
        <w:ind w:left="200" w:right="200"/>
      </w:pPr>
      <w:r>
        <w:rPr>
          <w:b/>
          <w:bCs/>
          <w:color w:val="1F3A5F"/>
          <w:sz w:val="24"/>
          <w:szCs w:val="24"/>
        </w:rPr>
        <w:t xml:space="preserve">Cross-references and shared material</w:t>
      </w:r>
    </w:p>
    <w:p>
      <w:pPr>
        <w:spacing w:after="120"/>
      </w:pPr>
      <w:r>
        <w:rPr>
          <w:sz w:val="21"/>
          <w:szCs w:val="21"/>
        </w:rPr>
        <w:t xml:space="preserve">Where the LaTeX template points at a label, refer to the section by name instead and let the assembler insert the reference. Do not restate shared material — the dataset, the preprocessing pipeline, the evaluation protocol — refer to the section that defines it.</w:t>
      </w:r>
    </w:p>
    <w:p>
      <w:pPr>
        <w:spacing w:after="120"/>
      </w:pPr>
      <w:r>
        <w:rPr>
          <w:sz w:val="21"/>
          <w:szCs w:val="21"/>
        </w:rPr>
        <w:t xml:space="preserve">Use the symbols declared in the shared notation table. Do not introduce private notation.</w:t>
      </w:r>
    </w:p>
    <w:p>
      <w:pPr>
        <w:pStyle w:val="Heading3"/>
      </w:pPr>
      <w:r>
        <w:t xml:space="preserve">&lt;MEASURE NAME&gt;</w:t>
      </w:r>
    </w:p>
    <w:p>
      <w:pPr>
        <w:pBdr>
          <w:bottom w:val="single" w:color="BFC9D4" w:sz="6" w:space="6"/>
        </w:pBdr>
        <w:spacing w:after="60"/>
      </w:pPr>
      <w:r>
        <w:rPr>
          <w:i/>
          <w:iCs/>
          <w:color w:val="595959"/>
          <w:sz w:val="20"/>
          <w:szCs w:val="20"/>
        </w:rPr>
        <w:t xml:space="preserve">Author: &lt;your name&gt;   ·   Kind: &lt;dissimilarity | internal | external | relative&gt;   ·   Draft: v0.1   ·   Date: &lt;date&gt;</w:t>
      </w:r>
    </w:p>
    <w:p>
      <w:pPr>
        <w:pStyle w:val="Heading4"/>
      </w:pPr>
      <w:r>
        <w:t xml:space="preserve">1. Overview</w:t>
      </w:r>
    </w:p>
    <w:p>
      <w:pPr>
        <w:spacing w:after="200" w:before="60"/>
      </w:pPr>
      <w:r>
        <w:rPr>
          <w:i/>
          <w:iCs/>
          <w:color w:val="595959"/>
          <w:sz w:val="21"/>
          <w:szCs w:val="21"/>
        </w:rPr>
        <w:t xml:space="preserve">[What the measure quantifies, in one paragraph, and which kind it is: a dissimilarity measure, or a validity index — and if an index, whether internal, external or relative. State why it is included: which methods need it, or which question about a partition it answers.]</w:t>
      </w:r>
    </w:p>
    <w:p>
      <w:pPr>
        <w:pStyle w:val="Heading4"/>
      </w:pPr>
      <w:r>
        <w:t xml:space="preserve">2. Definition</w:t>
      </w:r>
    </w:p>
    <w:p>
      <w:pPr>
        <w:spacing w:after="200" w:before="60"/>
      </w:pPr>
      <w:r>
        <w:rPr>
          <w:i/>
          <w:iCs/>
          <w:color w:val="595959"/>
          <w:sz w:val="21"/>
          <w:szCs w:val="21"/>
        </w:rPr>
        <w:t xml:space="preserve">[The formal definition, using the shared notation. Cite the original source. Where the measure is defined only for particular data types or cluster representations, say so here.]</w:t>
      </w:r>
    </w:p>
    <w:p>
      <w:pPr>
        <w:pStyle w:val="Heading4"/>
      </w:pPr>
      <w:r>
        <w:t xml:space="preserve">3. Properties</w:t>
      </w:r>
    </w:p>
    <w:p>
      <w:pPr>
        <w:spacing w:after="200" w:before="60"/>
      </w:pPr>
      <w:r>
        <w:rPr>
          <w:i/>
          <w:iCs/>
          <w:color w:val="595959"/>
          <w:sz w:val="21"/>
          <w:szCs w:val="21"/>
        </w:rPr>
        <w:t xml:space="preserve">[For a dissimilarity: which of the three metric properties it satisfies — identity and positivity, symmetry, the triangle inequality — and which it violates. This is not a formality: a measure violating the triangle inequality is admissible, but cannot be used with a method whose correctness depends on it. For an index: the attainable range, the direction (whether high or low is better), whether it is corrected for chance, and whether it is defined in the presence of noise. Fill in the table below.]</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1400"/>
        <w:gridCol w:w="4600"/>
      </w:tblGrid>
      <w:tr>
        <w:trPr>
          <w:tblHeader/>
        </w:trPr>
        <w:tc>
          <w:tcPr>
            <w:tcW w:type="dxa" w:w="3000"/>
            <w:shd w:fill="1F3A5F" w:color="auto" w:val="clear"/>
            <w:tcMar>
              <w:top w:type="dxa" w:w="80"/>
              <w:left w:type="dxa" w:w="100"/>
              <w:bottom w:type="dxa" w:w="80"/>
              <w:right w:type="dxa" w:w="100"/>
            </w:tcMar>
          </w:tcPr>
          <w:p>
            <w:r>
              <w:rPr>
                <w:b/>
                <w:bCs/>
                <w:color w:val="FFFFFF"/>
                <w:sz w:val="20"/>
                <w:szCs w:val="20"/>
              </w:rPr>
              <w:t xml:space="preserve">Property</w:t>
            </w:r>
          </w:p>
        </w:tc>
        <w:tc>
          <w:tcPr>
            <w:tcW w:type="dxa" w:w="1400"/>
            <w:shd w:fill="1F3A5F" w:color="auto" w:val="clear"/>
            <w:tcMar>
              <w:top w:type="dxa" w:w="80"/>
              <w:left w:type="dxa" w:w="100"/>
              <w:bottom w:type="dxa" w:w="80"/>
              <w:right w:type="dxa" w:w="100"/>
            </w:tcMar>
          </w:tcPr>
          <w:p>
            <w:r>
              <w:rPr>
                <w:b/>
                <w:bCs/>
                <w:color w:val="FFFFFF"/>
                <w:sz w:val="20"/>
                <w:szCs w:val="20"/>
              </w:rPr>
              <w:t xml:space="preserve">Holds?</w:t>
            </w:r>
          </w:p>
        </w:tc>
        <w:tc>
          <w:tcPr>
            <w:tcW w:type="dxa" w:w="4600"/>
            <w:shd w:fill="1F3A5F" w:color="auto" w:val="clear"/>
            <w:tcMar>
              <w:top w:type="dxa" w:w="80"/>
              <w:left w:type="dxa" w:w="100"/>
              <w:bottom w:type="dxa" w:w="80"/>
              <w:right w:type="dxa" w:w="100"/>
            </w:tcMar>
          </w:tcPr>
          <w:p>
            <w:r>
              <w:rPr>
                <w:b/>
                <w:bCs/>
                <w:color w:val="FFFFFF"/>
                <w:sz w:val="20"/>
                <w:szCs w:val="20"/>
              </w:rPr>
              <w:t xml:space="preserve">Evidence or reason</w:t>
            </w:r>
          </w:p>
        </w:tc>
      </w:tr>
      <w:tr>
        <w:tc>
          <w:tcPr>
            <w:tcW w:type="dxa" w:w="3000"/>
            <w:tcMar>
              <w:top w:type="dxa" w:w="80"/>
              <w:left w:type="dxa" w:w="100"/>
              <w:bottom w:type="dxa" w:w="80"/>
              <w:right w:type="dxa" w:w="100"/>
            </w:tcMar>
          </w:tcPr>
          <w:p>
            <w:r>
              <w:rPr>
                <w:sz w:val="20"/>
                <w:szCs w:val="20"/>
              </w:rPr>
              <w:t xml:space="preserve"/>
            </w:r>
          </w:p>
        </w:tc>
        <w:tc>
          <w:tcPr>
            <w:tcW w:type="dxa" w:w="1400"/>
            <w:tcMar>
              <w:top w:type="dxa" w:w="80"/>
              <w:left w:type="dxa" w:w="100"/>
              <w:bottom w:type="dxa" w:w="80"/>
              <w:right w:type="dxa" w:w="100"/>
            </w:tcMar>
          </w:tcPr>
          <w:p>
            <w:r>
              <w:rPr>
                <w:sz w:val="20"/>
                <w:szCs w:val="20"/>
              </w:rPr>
              <w:t xml:space="preserve"/>
            </w:r>
          </w:p>
        </w:tc>
        <w:tc>
          <w:tcPr>
            <w:tcW w:type="dxa" w:w="4600"/>
            <w:tcMar>
              <w:top w:type="dxa" w:w="80"/>
              <w:left w:type="dxa" w:w="100"/>
              <w:bottom w:type="dxa" w:w="80"/>
              <w:right w:type="dxa" w:w="100"/>
            </w:tcMar>
          </w:tcPr>
          <w:p>
            <w:r>
              <w:rPr>
                <w:sz w:val="20"/>
                <w:szCs w:val="20"/>
              </w:rPr>
              <w:t xml:space="preserve"/>
            </w:r>
          </w:p>
        </w:tc>
      </w:tr>
      <w:tr>
        <w:tc>
          <w:tcPr>
            <w:tcW w:type="dxa" w:w="3000"/>
            <w:tcMar>
              <w:top w:type="dxa" w:w="80"/>
              <w:left w:type="dxa" w:w="100"/>
              <w:bottom w:type="dxa" w:w="80"/>
              <w:right w:type="dxa" w:w="100"/>
            </w:tcMar>
          </w:tcPr>
          <w:p>
            <w:r>
              <w:rPr>
                <w:sz w:val="20"/>
                <w:szCs w:val="20"/>
              </w:rPr>
              <w:t xml:space="preserve"/>
            </w:r>
          </w:p>
        </w:tc>
        <w:tc>
          <w:tcPr>
            <w:tcW w:type="dxa" w:w="1400"/>
            <w:tcMar>
              <w:top w:type="dxa" w:w="80"/>
              <w:left w:type="dxa" w:w="100"/>
              <w:bottom w:type="dxa" w:w="80"/>
              <w:right w:type="dxa" w:w="100"/>
            </w:tcMar>
          </w:tcPr>
          <w:p>
            <w:r>
              <w:rPr>
                <w:sz w:val="20"/>
                <w:szCs w:val="20"/>
              </w:rPr>
              <w:t xml:space="preserve"/>
            </w:r>
          </w:p>
        </w:tc>
        <w:tc>
          <w:tcPr>
            <w:tcW w:type="dxa" w:w="4600"/>
            <w:tcMar>
              <w:top w:type="dxa" w:w="80"/>
              <w:left w:type="dxa" w:w="100"/>
              <w:bottom w:type="dxa" w:w="80"/>
              <w:right w:type="dxa" w:w="100"/>
            </w:tcMar>
          </w:tcPr>
          <w:p>
            <w:r>
              <w:rPr>
                <w:sz w:val="20"/>
                <w:szCs w:val="20"/>
              </w:rPr>
              <w:t xml:space="preserve"/>
            </w:r>
          </w:p>
        </w:tc>
      </w:tr>
      <w:tr>
        <w:tc>
          <w:tcPr>
            <w:tcW w:type="dxa" w:w="3000"/>
            <w:tcMar>
              <w:top w:type="dxa" w:w="80"/>
              <w:left w:type="dxa" w:w="100"/>
              <w:bottom w:type="dxa" w:w="80"/>
              <w:right w:type="dxa" w:w="100"/>
            </w:tcMar>
          </w:tcPr>
          <w:p>
            <w:r>
              <w:rPr>
                <w:sz w:val="20"/>
                <w:szCs w:val="20"/>
              </w:rPr>
              <w:t xml:space="preserve"/>
            </w:r>
          </w:p>
        </w:tc>
        <w:tc>
          <w:tcPr>
            <w:tcW w:type="dxa" w:w="1400"/>
            <w:tcMar>
              <w:top w:type="dxa" w:w="80"/>
              <w:left w:type="dxa" w:w="100"/>
              <w:bottom w:type="dxa" w:w="80"/>
              <w:right w:type="dxa" w:w="100"/>
            </w:tcMar>
          </w:tcPr>
          <w:p>
            <w:r>
              <w:rPr>
                <w:sz w:val="20"/>
                <w:szCs w:val="20"/>
              </w:rPr>
              <w:t xml:space="preserve"/>
            </w:r>
          </w:p>
        </w:tc>
        <w:tc>
          <w:tcPr>
            <w:tcW w:type="dxa" w:w="4600"/>
            <w:tcMar>
              <w:top w:type="dxa" w:w="80"/>
              <w:left w:type="dxa" w:w="100"/>
              <w:bottom w:type="dxa" w:w="80"/>
              <w:right w:type="dxa" w:w="100"/>
            </w:tcMar>
          </w:tcPr>
          <w:p>
            <w:r>
              <w:rPr>
                <w:sz w:val="20"/>
                <w:szCs w:val="20"/>
              </w:rPr>
              <w:t xml:space="preserve"/>
            </w:r>
          </w:p>
        </w:tc>
      </w:tr>
    </w:tbl>
    <w:p>
      <w:pPr>
        <w:spacing w:after="160"/>
      </w:pPr>
    </w:p>
    <w:p>
      <w:pPr>
        <w:pStyle w:val="Heading4"/>
      </w:pPr>
      <w:r>
        <w:t xml:space="preserve">4. Applicability</w:t>
      </w:r>
    </w:p>
    <w:p>
      <w:pPr>
        <w:spacing w:after="200" w:before="60"/>
      </w:pPr>
      <w:r>
        <w:rPr>
          <w:i/>
          <w:iCs/>
          <w:color w:val="595959"/>
          <w:sz w:val="21"/>
          <w:szCs w:val="21"/>
        </w:rPr>
        <w:t xml:space="preserve">[Which data types the measure accepts — numeric, categorical, mixed, incomplete — and which families of methods it can serve. For an index, add whether it applies to a soft partition directly or only to a defuzzified one, and how observations labelled as noise are treated. Excluding them scores only the points a method was confident about, which flatters that method; whichever choice is made, state it wherever the index is reported.]</w:t>
      </w:r>
    </w:p>
    <w:p>
      <w:pPr>
        <w:pStyle w:val="Heading4"/>
      </w:pPr>
      <w:r>
        <w:t xml:space="preserve">5. Computation and complexity</w:t>
      </w:r>
    </w:p>
    <w:p>
      <w:pPr>
        <w:spacing w:after="200" w:before="60"/>
      </w:pPr>
      <w:r>
        <w:rPr>
          <w:i/>
          <w:iCs/>
          <w:color w:val="595959"/>
          <w:sz w:val="21"/>
          <w:szCs w:val="21"/>
        </w:rPr>
        <w:t xml:space="preserve">[How the measure is computed, its time and space complexity, and what that means at AquaBlend data volumes. Note whether it requires the full pairwise matrix, since that is quadratic in the number of observations and often the binding constraint.]</w:t>
      </w:r>
    </w:p>
    <w:p>
      <w:pPr>
        <w:pStyle w:val="Heading4"/>
      </w:pPr>
      <w:r>
        <w:t xml:space="preserve">6. Application to AquaBlend data</w:t>
      </w:r>
    </w:p>
    <w:p>
      <w:pPr>
        <w:spacing w:after="200" w:before="60"/>
      </w:pPr>
      <w:r>
        <w:rPr>
          <w:i/>
          <w:iCs/>
          <w:color w:val="595959"/>
          <w:sz w:val="21"/>
          <w:szCs w:val="21"/>
        </w:rPr>
        <w:t xml:space="preserve">[Implementation, and where the measure is used: which methods are fitted with it, or which results are reported under it. Any parameter it carries, with the value chosen and the reason.]</w:t>
      </w:r>
    </w:p>
    <w:p>
      <w:pPr>
        <w:pStyle w:val="Heading4"/>
      </w:pPr>
      <w:r>
        <w:t xml:space="preserve">7. Behaviour</w:t>
      </w:r>
    </w:p>
    <w:p>
      <w:pPr>
        <w:spacing w:after="200" w:before="60"/>
      </w:pPr>
      <w:r>
        <w:rPr>
          <w:i/>
          <w:iCs/>
          <w:color w:val="595959"/>
          <w:sz w:val="21"/>
          <w:szCs w:val="21"/>
        </w:rPr>
        <w:t xml:space="preserve">[What the measure rewards, demonstrated rather than asserted — on our data, on a benchmark with known structure, or on a synthetic example. Essential for an index, because every index encodes a notion of what a cluster is: one built on distances to a centroid rewards compact, isotropic clusters and so does not rank methods of different families neutrally. Where that applies, carry it into the threats to validity.]</w:t>
      </w:r>
    </w:p>
    <w:p>
      <w:pPr>
        <w:pStyle w:val="Heading4"/>
      </w:pPr>
      <w:r>
        <w:t xml:space="preserve">8. Limitations</w:t>
      </w:r>
    </w:p>
    <w:p>
      <w:pPr>
        <w:spacing w:after="200" w:before="60"/>
      </w:pPr>
      <w:r>
        <w:rPr>
          <w:i/>
          <w:iCs/>
          <w:color w:val="595959"/>
          <w:sz w:val="21"/>
          <w:szCs w:val="21"/>
        </w:rPr>
        <w:t xml:space="preserve">[Where the measure is uninformative, misleading, or undefined — degenerate partitions, unbalanced cluster sizes, high dimension, or the concentration of distances. Distinguish what was observed from what is known from the literature.]</w:t>
      </w:r>
    </w:p>
    <w:p>
      <w:pPr>
        <w:pStyle w:val="Heading4"/>
      </w:pPr>
      <w:r>
        <w:t xml:space="preserve">9. Summary</w:t>
      </w:r>
    </w:p>
    <w:p>
      <w:pPr>
        <w:spacing w:after="200" w:before="60"/>
      </w:pPr>
      <w:r>
        <w:rPr>
          <w:i/>
          <w:iCs/>
          <w:color w:val="595959"/>
          <w:sz w:val="21"/>
          <w:szCs w:val="21"/>
        </w:rPr>
        <w:t xml:space="preserve">[Two or three sentences: what this measure is good for, what it must not be used for, and whether it belongs to the reported protocol or is supplementary.]</w:t>
      </w:r>
    </w:p>
    <w:p>
      <w:pPr>
        <w:pStyle w:val="Heading3"/>
      </w:pPr>
      <w:r>
        <w:t xml:space="preserve">Before submitting</w:t>
      </w:r>
    </w:p>
    <w:p>
      <w:pPr>
        <w:pStyle w:val="ListParagraph"/>
        <w:spacing w:after="40"/>
        <w:ind w:left="360"/>
      </w:pPr>
      <w:r>
        <w:rPr>
          <w:sz w:val="21"/>
          <w:szCs w:val="21"/>
        </w:rPr>
        <w:t xml:space="preserve">All nine parts present, in the given order, none merged or renamed.</w:t>
      </w:r>
    </w:p>
    <w:p>
      <w:pPr>
        <w:pStyle w:val="ListParagraph"/>
        <w:spacing w:after="40"/>
        <w:ind w:left="360"/>
      </w:pPr>
      <w:r>
        <w:rPr>
          <w:sz w:val="21"/>
          <w:szCs w:val="21"/>
        </w:rPr>
        <w:t xml:space="preserve">Every bracketed italic prompt deleted, including the prompts for the kind that does not apply.</w:t>
      </w:r>
    </w:p>
    <w:p>
      <w:pPr>
        <w:pStyle w:val="ListParagraph"/>
        <w:spacing w:after="40"/>
        <w:ind w:left="360"/>
      </w:pPr>
      <w:r>
        <w:rPr>
          <w:sz w:val="21"/>
          <w:szCs w:val="21"/>
        </w:rPr>
        <w:t xml:space="preserve">&lt;MEASURE NAME&gt; and the author/kind/date line filled in.</w:t>
      </w:r>
    </w:p>
    <w:p>
      <w:pPr>
        <w:pStyle w:val="ListParagraph"/>
        <w:spacing w:after="40"/>
        <w:ind w:left="360"/>
      </w:pPr>
      <w:r>
        <w:rPr>
          <w:sz w:val="21"/>
          <w:szCs w:val="21"/>
        </w:rPr>
        <w:t xml:space="preserve">Metric properties stated for a dissimilarity; range, direction and noise handling stated for an index.</w:t>
      </w:r>
    </w:p>
    <w:p>
      <w:pPr>
        <w:pStyle w:val="ListParagraph"/>
        <w:spacing w:after="40"/>
        <w:ind w:left="360"/>
      </w:pPr>
      <w:r>
        <w:rPr>
          <w:sz w:val="21"/>
          <w:szCs w:val="21"/>
        </w:rPr>
        <w:t xml:space="preserve">Those statements match the class attributes declared in the code.</w:t>
      </w:r>
    </w:p>
    <w:p>
      <w:pPr>
        <w:pStyle w:val="ListParagraph"/>
        <w:spacing w:after="40"/>
        <w:ind w:left="360"/>
      </w:pPr>
      <w:r>
        <w:rPr>
          <w:sz w:val="21"/>
          <w:szCs w:val="21"/>
        </w:rPr>
        <w:t xml:space="preserve">Behaviour demonstrated on data, not asserted.</w:t>
      </w:r>
    </w:p>
    <w:p>
      <w:pPr>
        <w:pStyle w:val="ListParagraph"/>
        <w:spacing w:after="40"/>
        <w:ind w:left="360"/>
      </w:pPr>
      <w:r>
        <w:rPr>
          <w:sz w:val="21"/>
          <w:szCs w:val="21"/>
        </w:rPr>
        <w:t xml:space="preserve">Notation matches the shared notation table; no private symbols introduced.</w:t>
      </w:r>
    </w:p>
    <w:p>
      <w:pPr>
        <w:pStyle w:val="ListParagraph"/>
        <w:spacing w:after="40"/>
        <w:ind w:left="360"/>
      </w:pPr>
      <w:r>
        <w:rPr>
          <w:sz w:val="21"/>
          <w:szCs w:val="21"/>
        </w:rPr>
        <w:t xml:space="preserve">Original source of the measure cited.</w:t>
      </w:r>
    </w:p>
    <w:p>
      <w:pPr>
        <w:pStyle w:val="ListParagraph"/>
        <w:spacing w:after="40"/>
        <w:ind w:left="360"/>
      </w:pPr>
      <w:r>
        <w:rPr>
          <w:sz w:val="21"/>
          <w:szCs w:val="21"/>
        </w:rPr>
        <w:t xml:space="preserve">Headings left at Heading 3 / Heading 4 so the file assembles correctly.</w:t>
      </w:r>
    </w:p>
    <w:p>
      <w:pPr>
        <w:pStyle w:val="ListParagraph"/>
        <w:spacing w:after="40"/>
        <w:ind w:left="360"/>
      </w:pPr>
      <w:r>
        <w:rPr>
          <w:sz w:val="21"/>
          <w:szCs w:val="21"/>
        </w:rPr>
        <w:t xml:space="preserve">AI assistance declared per Deakin policy if used in drafting.</w:t>
      </w:r>
    </w:p>
    <w:p>
      <w:pPr>
        <w:pBdr>
          <w:top w:val="single" w:color="BFC9D4" w:sz="6" w:space="8"/>
        </w:pBdr>
        <w:spacing w:before="300"/>
      </w:pPr>
      <w:r>
        <w:rPr>
          <w:i/>
          <w:iCs/>
          <w:color w:val="595959"/>
          <w:sz w:val="19"/>
          <w:szCs w:val="19"/>
        </w:rPr>
        <w:t xml:space="preserve">This Word template mirrors the LaTeX template of the same name. If the two ever disagree, the LaTeX template in the repository is authoritative.</w:t>
      </w:r>
    </w:p>
    <w:sectPr>
      <w:pgSz w:w="11906" w:h="16838" w:orient="portrait"/>
      <w:pgMar w:top="1400" w:right="1400" w:bottom="1400" w:left="14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4" w:hanging="259"/>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2026-07-30T01:19:10.402Z</dcterms:created>
  <dcterms:modified xsi:type="dcterms:W3CDTF">2026-07-30T01:19:10.418Z</dcterms:modified>
</cp:coreProperties>
</file>

<file path=docProps/custom.xml><?xml version="1.0" encoding="utf-8"?>
<Properties xmlns="http://schemas.openxmlformats.org/officeDocument/2006/custom-properties" xmlns:vt="http://schemas.openxmlformats.org/officeDocument/2006/docPropsVTypes"/>
</file>