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34"/>
          <w:szCs w:val="34"/>
        </w:rPr>
        <w:t xml:space="preserve">Clustering Method Write-Up — Template</w:t>
      </w:r>
    </w:p>
    <w:p>
      <w:pPr>
        <w:pBdr>
          <w:bottom w:val="single" w:color="BFC9D4" w:sz="6" w:space="6"/>
        </w:pBdr>
        <w:spacing w:after="240"/>
      </w:pPr>
      <w:r>
        <w:rPr>
          <w:i/>
          <w:iCs/>
          <w:color w:val="595959"/>
          <w:sz w:val="21"/>
          <w:szCs w:val="21"/>
        </w:rPr>
        <w:t xml:space="preserve">AquaBlend · Analysis &amp; AI · Word equivalent of sections/clustering_methods/00-template.tex</w:t>
      </w:r>
    </w:p>
    <w:p>
      <w:pPr>
        <w:shd w:fill="F2F5F8" w:color="auto" w:val="clear"/>
        <w:spacing w:after="140"/>
        <w:ind w:left="200" w:right="200"/>
      </w:pPr>
      <w:r>
        <w:rPr>
          <w:b/>
          <w:bCs/>
          <w:color w:val="1F3A5F"/>
          <w:sz w:val="24"/>
          <w:szCs w:val="24"/>
        </w:rPr>
        <w:t xml:space="preserve">How to use this template</w:t>
      </w:r>
    </w:p>
    <w:p>
      <w:pPr>
        <w:shd w:fill="F2F5F8" w:color="auto" w:val="clear"/>
        <w:spacing w:after="100"/>
        <w:ind w:left="200" w:right="200"/>
      </w:pPr>
      <w:r>
        <w:rPr>
          <w:sz w:val="21"/>
          <w:szCs w:val="21"/>
        </w:rPr>
        <w:t xml:space="preserve">Copy this file — do not edit it in place. Save your copy as &lt;family&gt;/NN-&lt;method-name&gt;.docx, replace &lt;METHOD NAME&gt; in the heading below, then delete every bracketed italic prompt as you replace it with your own text.</w:t>
      </w:r>
    </w:p>
    <w:p>
      <w:pPr>
        <w:shd w:fill="F2F5F8" w:color="auto" w:val="clear"/>
        <w:spacing w:after="100"/>
        <w:ind w:left="200" w:right="200"/>
      </w:pPr>
      <w:r>
        <w:rPr>
          <w:b/>
          <w:bCs/>
          <w:sz w:val="21"/>
          <w:szCs w:val="21"/>
        </w:rPr>
        <w:t xml:space="preserve">Keep the nine parts in the order given. The comparison section aggregates across methods and relies on every write-up reporting the same things in the same sequence. Do not add, remove, merge or reorder parts. If a part genuinely does not apply, keep the heading and write one sentence saying why.</w:t>
      </w:r>
    </w:p>
    <w:p>
      <w:pPr>
        <w:shd w:fill="F2F5F8" w:color="auto" w:val="clear"/>
        <w:spacing w:after="160"/>
        <w:ind w:left="200" w:right="200"/>
      </w:pPr>
      <w:r>
        <w:rPr>
          <w:sz w:val="21"/>
          <w:szCs w:val="21"/>
        </w:rPr>
        <w:t xml:space="preserve">Heading levels are deliberate. The method name is Heading 3 and the nine parts are Heading 4, matching the LaTeX subsubsection/paragraph levels, so a finished copy can be pasted straight into the master document at the correct depth. Do not promote the headings.</w:t>
      </w:r>
    </w:p>
    <w:p>
      <w:pPr>
        <w:shd w:fill="F2F5F8" w:color="auto" w:val="clear"/>
        <w:spacing w:after="100"/>
        <w:ind w:left="200" w:right="200"/>
      </w:pPr>
      <w:r>
        <w:rPr>
          <w:b/>
          <w:bCs/>
          <w:color w:val="1F3A5F"/>
          <w:sz w:val="22"/>
          <w:szCs w:val="22"/>
        </w:rPr>
        <w:t xml:space="preserve">Cross-references and shared material</w:t>
      </w:r>
    </w:p>
    <w:p>
      <w:pPr>
        <w:shd w:fill="F2F5F8" w:color="auto" w:val="clear"/>
        <w:spacing w:after="80"/>
        <w:ind w:left="200" w:right="200"/>
      </w:pPr>
      <w:r>
        <w:rPr>
          <w:sz w:val="21"/>
          <w:szCs w:val="21"/>
        </w:rPr>
        <w:t xml:space="preserve">Where the LaTeX template points at a label, refer to the section by name instead and let Word's cross-reference tool link it once assembled:</w:t>
      </w:r>
    </w:p>
    <w:p>
      <w:pPr>
        <w:shd w:fill="F2F5F8" w:color="auto" w:val="clear"/>
        <w:spacing w:after="80"/>
        <w:ind w:left="200" w:right="200"/>
      </w:pPr>
      <w:r>
        <w:rPr>
          <w:i/>
          <w:iCs/>
          <w:sz w:val="21"/>
          <w:szCs w:val="21"/>
        </w:rPr>
        <w:t xml:space="preserve">Families of clustering methods (Background) · Data (data description) · Evaluation metrics (Methodology) · Comparison of methods</w:t>
      </w:r>
    </w:p>
    <w:p>
      <w:pPr>
        <w:shd w:fill="F2F5F8" w:color="auto" w:val="clear"/>
        <w:spacing w:after="240"/>
        <w:ind w:left="200" w:right="200"/>
      </w:pPr>
      <w:r>
        <w:rPr>
          <w:sz w:val="21"/>
          <w:szCs w:val="21"/>
        </w:rPr>
        <w:t xml:space="preserve">Use the symbols declared in the shared notation table — do not introduce private notation. Cite the original source of the method; house citation style applies.</w:t>
      </w:r>
    </w:p>
    <w:p>
      <w:pPr>
        <w:pStyle w:val="Heading3"/>
        <w:spacing w:after="40" w:before="200"/>
      </w:pPr>
      <w:r>
        <w:rPr>
          <w:b/>
          <w:bCs/>
          <w:color w:val="1F3A5F"/>
          <w:sz w:val="28"/>
          <w:szCs w:val="28"/>
        </w:rPr>
        <w:t xml:space="preserve">&lt;METHOD NAME&gt;</w:t>
      </w:r>
    </w:p>
    <w:p>
      <w:pPr>
        <w:pBdr>
          <w:bottom w:val="single" w:color="BFC9D4" w:sz="6" w:space="6"/>
        </w:pBdr>
        <w:spacing w:after="60"/>
      </w:pPr>
      <w:r>
        <w:rPr>
          <w:i/>
          <w:iCs/>
          <w:color w:val="595959"/>
          <w:sz w:val="20"/>
          <w:szCs w:val="20"/>
        </w:rPr>
        <w:t xml:space="preserve">Author: &lt;your name&gt;   ·   Family: &lt;family&gt;   ·   Draft: v0.1   ·   Date: &lt;date&gt;</w:t>
      </w:r>
    </w:p>
    <w:p>
      <w:pPr>
        <w:pStyle w:val="Heading4"/>
        <w:spacing w:after="60" w:before="280"/>
      </w:pPr>
      <w:r>
        <w:rPr>
          <w:b/>
          <w:bCs/>
          <w:color w:val="1F3A5F"/>
          <w:sz w:val="23"/>
          <w:szCs w:val="23"/>
        </w:rPr>
        <w:t xml:space="preserve">1. Overview</w:t>
      </w:r>
    </w:p>
    <w:p>
      <w:pPr>
        <w:spacing w:after="200" w:before="60"/>
      </w:pPr>
      <w:r>
        <w:rPr>
          <w:i/>
          <w:iCs/>
          <w:color w:val="595959"/>
          <w:sz w:val="21"/>
          <w:szCs w:val="21"/>
        </w:rPr>
        <w:t xml:space="preserve">[What the algorithm does, in one paragraph, and the family it belongs to. Reference the Families section of the Background rather than restating it.]</w:t>
      </w:r>
    </w:p>
    <w:p>
      <w:pPr>
        <w:pStyle w:val="Heading4"/>
        <w:spacing w:after="60" w:before="280"/>
      </w:pPr>
      <w:r>
        <w:rPr>
          <w:b/>
          <w:bCs/>
          <w:color w:val="1F3A5F"/>
          <w:sz w:val="23"/>
          <w:szCs w:val="23"/>
        </w:rPr>
        <w:t xml:space="preserve">2. Assumptions and applicability</w:t>
      </w:r>
    </w:p>
    <w:p>
      <w:pPr>
        <w:spacing w:after="200" w:before="60"/>
      </w:pPr>
      <w:r>
        <w:rPr>
          <w:i/>
          <w:iCs/>
          <w:color w:val="595959"/>
          <w:sz w:val="21"/>
          <w:szCs w:val="21"/>
        </w:rPr>
        <w:t xml:space="preserve">[What the algorithm assumes about cluster shape, density, scale and noise. Then the conditions under which it is a sensible choice for the data described in the Data section — be specific about our data, not about data in general.]</w:t>
      </w:r>
    </w:p>
    <w:p>
      <w:pPr>
        <w:pStyle w:val="Heading4"/>
        <w:spacing w:after="60" w:before="280"/>
      </w:pPr>
      <w:r>
        <w:rPr>
          <w:b/>
          <w:bCs/>
          <w:color w:val="1F3A5F"/>
          <w:sz w:val="23"/>
          <w:szCs w:val="23"/>
        </w:rPr>
        <w:t xml:space="preserve">3. Formulation</w:t>
      </w:r>
    </w:p>
    <w:p>
      <w:pPr>
        <w:spacing w:after="200" w:before="60"/>
      </w:pPr>
      <w:r>
        <w:rPr>
          <w:i/>
          <w:iCs/>
          <w:color w:val="595959"/>
          <w:sz w:val="21"/>
          <w:szCs w:val="21"/>
        </w:rPr>
        <w:t xml:space="preserve">[Objective function and update rule, using the symbols declared in the shared notation table. Cite the original source. State explicitly whether the dissimilarity used is a metric, and if not, which axioms it fails.]</w:t>
      </w:r>
    </w:p>
    <w:p>
      <w:pPr>
        <w:pStyle w:val="Heading4"/>
        <w:spacing w:after="60" w:before="280"/>
      </w:pPr>
      <w:r>
        <w:rPr>
          <w:b/>
          <w:bCs/>
          <w:color w:val="1F3A5F"/>
          <w:sz w:val="23"/>
          <w:szCs w:val="23"/>
        </w:rPr>
        <w:t xml:space="preserve">4. Hyperparameters and tuning</w:t>
      </w:r>
    </w:p>
    <w:p>
      <w:pPr>
        <w:spacing w:after="200" w:before="60"/>
      </w:pPr>
      <w:r>
        <w:rPr>
          <w:i/>
          <w:iCs/>
          <w:color w:val="595959"/>
          <w:sz w:val="21"/>
          <w:szCs w:val="21"/>
        </w:rPr>
        <w:t xml:space="preserve">[Every hyperparameter, the range searched, and the value selected — each with the reason. Use the table below; add a row per hyperparameter and delete unused rows.]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000"/>
      </w:tblGrid>
      <w:tr>
        <w:trPr>
          <w:tblHeader/>
        </w:trPr>
        <w:tc>
          <w:tcPr>
            <w:tcW w:type="dxa" w:w="2200"/>
            <w:shd w:fill="1F3A5F" w:color="auto" w:val="clear"/>
            <w:tcMar>
              <w:top w:type="dxa" w:w="80"/>
              <w:left w:type="dxa" w:w="100"/>
              <w:bottom w:type="dxa" w:w="80"/>
              <w:right w:type="dxa" w:w="100"/>
            </w:tcMar>
          </w:tcPr>
          <w:p>
            <w:r>
              <w:rPr>
                <w:b/>
                <w:bCs/>
                <w:color w:val="FFFFFF"/>
                <w:sz w:val="20"/>
                <w:szCs w:val="20"/>
              </w:rPr>
              <w:t xml:space="preserve">Hyperparameter</w:t>
            </w:r>
          </w:p>
        </w:tc>
        <w:tc>
          <w:tcPr>
            <w:tcW w:type="dxa" w:w="2200"/>
            <w:shd w:fill="1F3A5F" w:color="auto" w:val="clear"/>
            <w:tcMar>
              <w:top w:type="dxa" w:w="80"/>
              <w:left w:type="dxa" w:w="100"/>
              <w:bottom w:type="dxa" w:w="80"/>
              <w:right w:type="dxa" w:w="100"/>
            </w:tcMar>
          </w:tcPr>
          <w:p>
            <w:r>
              <w:rPr>
                <w:b/>
                <w:bCs/>
                <w:color w:val="FFFFFF"/>
                <w:sz w:val="20"/>
                <w:szCs w:val="20"/>
              </w:rPr>
              <w:t xml:space="preserve">Range searched</w:t>
            </w:r>
          </w:p>
        </w:tc>
        <w:tc>
          <w:tcPr>
            <w:tcW w:type="dxa" w:w="1600"/>
            <w:shd w:fill="1F3A5F" w:color="auto" w:val="clear"/>
            <w:tcMar>
              <w:top w:type="dxa" w:w="80"/>
              <w:left w:type="dxa" w:w="100"/>
              <w:bottom w:type="dxa" w:w="80"/>
              <w:right w:type="dxa" w:w="100"/>
            </w:tcMar>
          </w:tcPr>
          <w:p>
            <w:r>
              <w:rPr>
                <w:b/>
                <w:bCs/>
                <w:color w:val="FFFFFF"/>
                <w:sz w:val="20"/>
                <w:szCs w:val="20"/>
              </w:rPr>
              <w:t xml:space="preserve">Value selected</w:t>
            </w:r>
          </w:p>
        </w:tc>
        <w:tc>
          <w:tcPr>
            <w:tcW w:type="dxa" w:w="3000"/>
            <w:shd w:fill="1F3A5F" w:color="auto" w:val="clear"/>
            <w:tcMar>
              <w:top w:type="dxa" w:w="80"/>
              <w:left w:type="dxa" w:w="100"/>
              <w:bottom w:type="dxa" w:w="80"/>
              <w:right w:type="dxa" w:w="100"/>
            </w:tcMar>
          </w:tcPr>
          <w:p>
            <w:r>
              <w:rPr>
                <w:b/>
                <w:bCs/>
                <w:color w:val="FFFFFF"/>
                <w:sz w:val="20"/>
                <w:szCs w:val="20"/>
              </w:rPr>
              <w:t xml:space="preserve">Reason for the choice</w:t>
            </w:r>
          </w:p>
        </w:tc>
      </w:tr>
      <w:tr>
        <w:tc>
          <w:tcPr>
            <w:tcW w:type="dxa" w:w="2200"/>
            <w:tcMar>
              <w:top w:type="dxa" w:w="80"/>
              <w:left w:type="dxa" w:w="100"/>
              <w:bottom w:type="dxa" w:w="80"/>
              <w:right w:type="dxa" w:w="100"/>
            </w:tcMar>
          </w:tcPr>
          <w:p>
            <w:r>
              <w:rPr>
                <w:sz w:val="20"/>
                <w:szCs w:val="20"/>
              </w:rPr>
              <w:t xml:space="preserve"/>
            </w:r>
          </w:p>
        </w:tc>
        <w:tc>
          <w:tcPr>
            <w:tcW w:type="dxa" w:w="2200"/>
            <w:tcMar>
              <w:top w:type="dxa" w:w="80"/>
              <w:left w:type="dxa" w:w="100"/>
              <w:bottom w:type="dxa" w:w="80"/>
              <w:right w:type="dxa" w:w="100"/>
            </w:tcMar>
          </w:tcPr>
          <w:p>
            <w:r>
              <w:rPr>
                <w:sz w:val="20"/>
                <w:szCs w:val="20"/>
              </w:rPr>
              <w:t xml:space="preserve"/>
            </w:r>
          </w:p>
        </w:tc>
        <w:tc>
          <w:tcPr>
            <w:tcW w:type="dxa" w:w="16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r>
        <w:tc>
          <w:tcPr>
            <w:tcW w:type="dxa" w:w="2200"/>
            <w:tcMar>
              <w:top w:type="dxa" w:w="80"/>
              <w:left w:type="dxa" w:w="100"/>
              <w:bottom w:type="dxa" w:w="80"/>
              <w:right w:type="dxa" w:w="100"/>
            </w:tcMar>
          </w:tcPr>
          <w:p>
            <w:r>
              <w:rPr>
                <w:sz w:val="20"/>
                <w:szCs w:val="20"/>
              </w:rPr>
              <w:t xml:space="preserve"/>
            </w:r>
          </w:p>
        </w:tc>
        <w:tc>
          <w:tcPr>
            <w:tcW w:type="dxa" w:w="2200"/>
            <w:tcMar>
              <w:top w:type="dxa" w:w="80"/>
              <w:left w:type="dxa" w:w="100"/>
              <w:bottom w:type="dxa" w:w="80"/>
              <w:right w:type="dxa" w:w="100"/>
            </w:tcMar>
          </w:tcPr>
          <w:p>
            <w:r>
              <w:rPr>
                <w:sz w:val="20"/>
                <w:szCs w:val="20"/>
              </w:rPr>
              <w:t xml:space="preserve"/>
            </w:r>
          </w:p>
        </w:tc>
        <w:tc>
          <w:tcPr>
            <w:tcW w:type="dxa" w:w="1600"/>
            <w:tcMar>
              <w:top w:type="dxa" w:w="80"/>
              <w:left w:type="dxa" w:w="100"/>
              <w:bottom w:type="dxa" w:w="80"/>
              <w:right w:type="dxa" w:w="100"/>
            </w:tcMar>
          </w:tcPr>
          <w:p>
            <w:r>
              <w:rPr>
                <w:sz w:val="20"/>
                <w:szCs w:val="20"/>
              </w:rPr>
              <w:t xml:space="preserve"/>
            </w:r>
          </w:p>
        </w:tc>
        <w:tc>
          <w:tcPr>
            <w:tcW w:type="dxa" w:w="3000"/>
            <w:tcMar>
              <w:top w:type="dxa" w:w="80"/>
              <w:left w:type="dxa" w:w="100"/>
              <w:bottom w:type="dxa" w:w="80"/>
              <w:right w:type="dxa" w:w="100"/>
            </w:tcMar>
          </w:tcPr>
          <w:p>
            <w:r>
              <w:rPr>
                <w:sz w:val="20"/>
                <w:szCs w:val="20"/>
              </w:rPr>
              <w:t xml:space="preserve"/>
            </w:r>
          </w:p>
        </w:tc>
      </w:tr>
    </w:tbl>
    <w:p>
      <w:pPr>
        <w:spacing w:after="120"/>
      </w:pPr>
      <w:r>
        <w:t xml:space="preserve"/>
      </w:r>
    </w:p>
    <w:p>
      <w:pPr>
        <w:pStyle w:val="Heading4"/>
        <w:spacing w:after="60" w:before="280"/>
      </w:pPr>
      <w:r>
        <w:rPr>
          <w:b/>
          <w:bCs/>
          <w:color w:val="1F3A5F"/>
          <w:sz w:val="23"/>
          <w:szCs w:val="23"/>
        </w:rPr>
        <w:t xml:space="preserve">5. Complexity</w:t>
      </w:r>
    </w:p>
    <w:p>
      <w:pPr>
        <w:spacing w:after="200" w:before="60"/>
      </w:pPr>
      <w:r>
        <w:rPr>
          <w:i/>
          <w:iCs/>
          <w:color w:val="595959"/>
          <w:sz w:val="21"/>
          <w:szCs w:val="21"/>
        </w:rPr>
        <w:t xml:space="preserve">[Time and space complexity in the usual asymptotic notation, then what that actually means at AquaBlend data volumes — state the number of observations and features you are reasoning about. Note any acceleration structure relied on, and whether the chosen dissimilarity permits it.]</w:t>
      </w:r>
    </w:p>
    <w:p>
      <w:pPr>
        <w:pStyle w:val="Heading4"/>
        <w:spacing w:after="60" w:before="280"/>
      </w:pPr>
      <w:r>
        <w:rPr>
          <w:b/>
          <w:bCs/>
          <w:color w:val="1F3A5F"/>
          <w:sz w:val="23"/>
          <w:szCs w:val="23"/>
        </w:rPr>
        <w:t xml:space="preserve">6. Application to AquaBlend data</w:t>
      </w:r>
    </w:p>
    <w:p>
      <w:pPr>
        <w:spacing w:after="200" w:before="60"/>
      </w:pPr>
      <w:r>
        <w:rPr>
          <w:i/>
          <w:iCs/>
          <w:color w:val="595959"/>
          <w:sz w:val="21"/>
          <w:szCs w:val="21"/>
        </w:rPr>
        <w:t xml:space="preserve">[Implementation: library and version, random seeds, and how the run is reproduced. Then any deviation from the shared preprocessing pipeline and why it was necessary. Deviations must be justified here, not left implicit in code.]</w:t>
      </w:r>
    </w:p>
    <w:p>
      <w:pPr>
        <w:pStyle w:val="Heading4"/>
        <w:spacing w:after="60" w:before="280"/>
      </w:pPr>
      <w:r>
        <w:rPr>
          <w:b/>
          <w:bCs/>
          <w:color w:val="1F3A5F"/>
          <w:sz w:val="23"/>
          <w:szCs w:val="23"/>
        </w:rPr>
        <w:t xml:space="preserve">7. Results</w:t>
      </w:r>
    </w:p>
    <w:p>
      <w:pPr>
        <w:spacing w:after="200" w:before="60"/>
      </w:pPr>
      <w:r>
        <w:rPr>
          <w:i/>
          <w:iCs/>
          <w:color w:val="595959"/>
          <w:sz w:val="21"/>
          <w:szCs w:val="21"/>
        </w:rPr>
        <w:t xml:space="preserve">[The metrics defined in the Evaluation metrics section — all of them, in the order defined there — plus cluster profiles and supporting figures. Report the metrics even where they are unfavourable.]</w:t>
      </w:r>
    </w:p>
    <w:p>
      <w:pPr>
        <w:pStyle w:val="Heading4"/>
        <w:spacing w:after="60" w:before="280"/>
      </w:pPr>
      <w:r>
        <w:rPr>
          <w:b/>
          <w:bCs/>
          <w:color w:val="1F3A5F"/>
          <w:sz w:val="23"/>
          <w:szCs w:val="23"/>
        </w:rPr>
        <w:t xml:space="preserve">8. Limitations</w:t>
      </w:r>
    </w:p>
    <w:p>
      <w:pPr>
        <w:spacing w:after="200" w:before="60"/>
      </w:pPr>
      <w:r>
        <w:rPr>
          <w:i/>
          <w:iCs/>
          <w:color w:val="595959"/>
          <w:sz w:val="21"/>
          <w:szCs w:val="21"/>
        </w:rPr>
        <w:t xml:space="preserve">[Where this method failed on our data, or would be expected to fail. Distinguish observed failure from anticipated failure.]</w:t>
      </w:r>
    </w:p>
    <w:p>
      <w:pPr>
        <w:pStyle w:val="Heading4"/>
        <w:spacing w:after="60" w:before="280"/>
      </w:pPr>
      <w:r>
        <w:rPr>
          <w:b/>
          <w:bCs/>
          <w:color w:val="1F3A5F"/>
          <w:sz w:val="23"/>
          <w:szCs w:val="23"/>
        </w:rPr>
        <w:t xml:space="preserve">9. Summary</w:t>
      </w:r>
    </w:p>
    <w:p>
      <w:pPr>
        <w:spacing w:after="200" w:before="60"/>
      </w:pPr>
      <w:r>
        <w:rPr>
          <w:i/>
          <w:iCs/>
          <w:color w:val="595959"/>
          <w:sz w:val="21"/>
          <w:szCs w:val="21"/>
        </w:rPr>
        <w:t xml:space="preserve">[Two or three sentences: the verdict on this method, phrased so it can be carried directly into the comparison section.]</w:t>
      </w:r>
    </w:p>
    <w:p>
      <w:pPr>
        <w:pStyle w:val="Heading3"/>
        <w:spacing w:after="100" w:before="360"/>
      </w:pPr>
      <w:r>
        <w:rPr>
          <w:b/>
          <w:bCs/>
          <w:color w:val="1F3A5F"/>
          <w:sz w:val="26"/>
          <w:szCs w:val="26"/>
        </w:rPr>
        <w:t xml:space="preserve">Before submitting</w:t>
      </w:r>
    </w:p>
    <w:p>
      <w:pPr>
        <w:pStyle w:val="ListParagraph"/>
        <w:numPr>
          <w:ilvl w:val="0"/>
          <w:numId w:val="2"/>
        </w:numPr>
        <w:spacing w:after="70"/>
      </w:pPr>
      <w:r>
        <w:rPr>
          <w:sz w:val="21"/>
          <w:szCs w:val="21"/>
        </w:rPr>
        <w:t xml:space="preserve">All nine parts present, in the given order, none merged or renamed.</w:t>
      </w:r>
    </w:p>
    <w:p>
      <w:pPr>
        <w:pStyle w:val="ListParagraph"/>
        <w:numPr>
          <w:ilvl w:val="0"/>
          <w:numId w:val="2"/>
        </w:numPr>
        <w:spacing w:after="70"/>
      </w:pPr>
      <w:r>
        <w:rPr>
          <w:sz w:val="21"/>
          <w:szCs w:val="21"/>
        </w:rPr>
        <w:t xml:space="preserve">Every bracketed italic prompt deleted.</w:t>
      </w:r>
    </w:p>
    <w:p>
      <w:pPr>
        <w:pStyle w:val="ListParagraph"/>
        <w:numPr>
          <w:ilvl w:val="0"/>
          <w:numId w:val="2"/>
        </w:numPr>
        <w:spacing w:after="70"/>
      </w:pPr>
      <w:r>
        <w:rPr>
          <w:sz w:val="21"/>
          <w:szCs w:val="21"/>
        </w:rPr>
        <w:t xml:space="preserve">&lt;METHOD NAME&gt; and the author/family/date line filled in.</w:t>
      </w:r>
    </w:p>
    <w:p>
      <w:pPr>
        <w:pStyle w:val="ListParagraph"/>
        <w:numPr>
          <w:ilvl w:val="0"/>
          <w:numId w:val="2"/>
        </w:numPr>
        <w:spacing w:after="70"/>
      </w:pPr>
      <w:r>
        <w:rPr>
          <w:sz w:val="21"/>
          <w:szCs w:val="21"/>
        </w:rPr>
        <w:t xml:space="preserve">Notation matches the shared notation table; no private symbols introduced.</w:t>
      </w:r>
    </w:p>
    <w:p>
      <w:pPr>
        <w:pStyle w:val="ListParagraph"/>
        <w:numPr>
          <w:ilvl w:val="0"/>
          <w:numId w:val="2"/>
        </w:numPr>
        <w:spacing w:after="70"/>
      </w:pPr>
      <w:r>
        <w:rPr>
          <w:sz w:val="21"/>
          <w:szCs w:val="21"/>
        </w:rPr>
        <w:t xml:space="preserve">Original source of the method cited.</w:t>
      </w:r>
    </w:p>
    <w:p>
      <w:pPr>
        <w:pStyle w:val="ListParagraph"/>
        <w:numPr>
          <w:ilvl w:val="0"/>
          <w:numId w:val="2"/>
        </w:numPr>
        <w:spacing w:after="70"/>
      </w:pPr>
      <w:r>
        <w:rPr>
          <w:sz w:val="21"/>
          <w:szCs w:val="21"/>
        </w:rPr>
        <w:t xml:space="preserve">Every hyperparameter has a searched range, a selected value, and a stated reason.</w:t>
      </w:r>
    </w:p>
    <w:p>
      <w:pPr>
        <w:pStyle w:val="ListParagraph"/>
        <w:numPr>
          <w:ilvl w:val="0"/>
          <w:numId w:val="2"/>
        </w:numPr>
        <w:spacing w:after="70"/>
      </w:pPr>
      <w:r>
        <w:rPr>
          <w:sz w:val="21"/>
          <w:szCs w:val="21"/>
        </w:rPr>
        <w:t xml:space="preserve">All metrics from the Evaluation metrics section reported, including unfavourable ones.</w:t>
      </w:r>
    </w:p>
    <w:p>
      <w:pPr>
        <w:pStyle w:val="ListParagraph"/>
        <w:numPr>
          <w:ilvl w:val="0"/>
          <w:numId w:val="2"/>
        </w:numPr>
        <w:spacing w:after="70"/>
      </w:pPr>
      <w:r>
        <w:rPr>
          <w:sz w:val="21"/>
          <w:szCs w:val="21"/>
        </w:rPr>
        <w:t xml:space="preserve">Figures numbered, captioned, and referred to in the text.</w:t>
      </w:r>
    </w:p>
    <w:p>
      <w:pPr>
        <w:pStyle w:val="ListParagraph"/>
        <w:numPr>
          <w:ilvl w:val="0"/>
          <w:numId w:val="2"/>
        </w:numPr>
        <w:spacing w:after="70"/>
      </w:pPr>
      <w:r>
        <w:rPr>
          <w:sz w:val="21"/>
          <w:szCs w:val="21"/>
        </w:rPr>
        <w:t xml:space="preserve">Headings left at Heading 3 / Heading 4 so the file assembles correctly.</w:t>
      </w:r>
    </w:p>
    <w:p>
      <w:pPr>
        <w:pStyle w:val="ListParagraph"/>
        <w:numPr>
          <w:ilvl w:val="0"/>
          <w:numId w:val="2"/>
        </w:numPr>
        <w:spacing w:after="70"/>
      </w:pPr>
      <w:r>
        <w:rPr>
          <w:sz w:val="21"/>
          <w:szCs w:val="21"/>
        </w:rPr>
        <w:t xml:space="preserve">AI assistance declared per Deakin policy if used in drafting.</w:t>
      </w:r>
    </w:p>
    <w:p>
      <w:pPr>
        <w:pBdr>
          <w:top w:val="single" w:color="BFC9D4" w:sz="6" w:space="8"/>
        </w:pBdr>
        <w:spacing w:before="300"/>
      </w:pPr>
      <w:r>
        <w:rPr>
          <w:i/>
          <w:iCs/>
          <w:color w:val="595959"/>
          <w:sz w:val="19"/>
          <w:szCs w:val="19"/>
        </w:rPr>
        <w:t xml:space="preserve">This Word template mirrors the LaTeX method template. If the two ever disagree, the LaTeX template in the repository is authoritative.</w:t>
      </w:r>
    </w:p>
    <w:sectPr>
      <w:pgSz w:w="11906" w:h="16838" w:orient="portrait"/>
      <w:pgMar w:top="1400" w:right="1400" w:bottom="14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2026-07-30T01:19:10.402Z</dcterms:created>
  <dcterms:modified xsi:type="dcterms:W3CDTF">2026-07-30T01:19:10.418Z</dcterms:modified>
</cp:coreProperties>
</file>

<file path=docProps/custom.xml><?xml version="1.0" encoding="utf-8"?>
<Properties xmlns="http://schemas.openxmlformats.org/officeDocument/2006/custom-properties" xmlns:vt="http://schemas.openxmlformats.org/officeDocument/2006/docPropsVTypes"/>
</file>