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Mobile wireless applications are likely to benefit from cloud computing, as we discussed in Chapter 4.</w:t>
      </w:r>
    </w:p>
    <w:p>
      <w:pPr/>
      <w:r>
        <w:rPr>
          <w:rFonts w:ascii="Times" w:hAnsi="Times" w:cs="Times"/>
          <w:sz w:val="20"/>
          <w:sz-cs w:val="20"/>
        </w:rPr>
        <w:t xml:space="preserve">This expectation is motivated by several reasons:</w:t>
      </w:r>
    </w:p>
    <w:p>
      <w:pPr/>
      <w:r>
        <w:rPr>
          <w:rFonts w:ascii="Times" w:hAnsi="Times" w:cs="Times"/>
          <w:sz w:val="20"/>
          <w:sz-cs w:val="20"/>
        </w:rPr>
        <w:t xml:space="preserve">• The convenience of data access from any site connected to the Internet.</w:t>
      </w:r>
    </w:p>
    <w:p>
      <w:pPr/>
      <w:r>
        <w:rPr>
          <w:rFonts w:ascii="Times" w:hAnsi="Times" w:cs="Times"/>
          <w:sz w:val="20"/>
          <w:sz-cs w:val="20"/>
        </w:rPr>
        <w:t xml:space="preserve">• The data transfer rates of wireless networks are increasing; the time to transfer data to and from a</w:t>
      </w:r>
    </w:p>
    <w:p>
      <w:pPr/>
      <w:r>
        <w:rPr>
          <w:rFonts w:ascii="Times" w:hAnsi="Times" w:cs="Times"/>
          <w:sz w:val="20"/>
          <w:sz-cs w:val="20"/>
        </w:rPr>
        <w:t xml:space="preserve">cloud is no longer a limiting factor.</w:t>
      </w:r>
    </w:p>
    <w:p>
      <w:pPr/>
      <w:r>
        <w:rPr>
          <w:rFonts w:ascii="Times" w:hAnsi="Times" w:cs="Times"/>
          <w:sz w:val="20"/>
          <w:sz-cs w:val="20"/>
        </w:rPr>
        <w:t xml:space="preserve">• Mobile devices have limited resources; whereas new generations of smartphones and tablet computers</w:t>
      </w:r>
    </w:p>
    <w:p>
      <w:pPr/>
      <w:r>
        <w:rPr>
          <w:rFonts w:ascii="Times" w:hAnsi="Times" w:cs="Times"/>
          <w:sz w:val="20"/>
          <w:sz-cs w:val="20"/>
        </w:rPr>
        <w:t xml:space="preserve">are likely to use multicore processors and have a fair amount of memory, power consumption</w:t>
      </w:r>
    </w:p>
    <w:p>
      <w:pPr/>
      <w:r>
        <w:rPr>
          <w:rFonts w:ascii="Times" w:hAnsi="Times" w:cs="Times"/>
          <w:sz w:val="20"/>
          <w:sz-cs w:val="20"/>
        </w:rPr>
        <w:t xml:space="preserve">is, and will continue to be, a major concern in the near future. Thus, it seems reasonable to delegate</w:t>
      </w:r>
    </w:p>
    <w:p>
      <w:pPr/>
      <w:r>
        <w:rPr>
          <w:rFonts w:ascii="Times" w:hAnsi="Times" w:cs="Times"/>
          <w:sz w:val="20"/>
          <w:sz-cs w:val="20"/>
        </w:rPr>
        <w:t xml:space="preserve">compute- and data-intensive tasks to an external entity, e.g., a cloud.</w:t>
      </w:r>
    </w:p>
    <w:p>
      <w:pPr/>
      <w:r>
        <w:rPr>
          <w:rFonts w:ascii="Times" w:hAnsi="Times" w:cs="Times"/>
          <w:sz w:val="20"/>
          <w:sz-cs w:val="20"/>
        </w:rPr>
        <w:t xml:space="preserve">The first application we discuss is a cloud-based simulation for trust evaluation in a Cognitive Radio</w:t>
      </w:r>
    </w:p>
    <w:p>
      <w:pPr/>
      <w:r>
        <w:rPr>
          <w:rFonts w:ascii="Times" w:hAnsi="Times" w:cs="Times"/>
          <w:sz w:val="20"/>
          <w:sz-cs w:val="20"/>
        </w:rPr>
        <w:t xml:space="preserve">Network (CRN) [</w:t>
      </w:r>
      <w:r>
        <w:rPr>
          <w:rFonts w:ascii="Times" w:hAnsi="Times" w:cs="Times"/>
          <w:sz w:val="20"/>
          <w:sz-cs w:val="20"/>
          <w:color w:val="000066"/>
        </w:rPr>
        <w:t xml:space="preserve">52</w:t>
      </w:r>
      <w:r>
        <w:rPr>
          <w:rFonts w:ascii="Times" w:hAnsi="Times" w:cs="Times"/>
          <w:sz w:val="20"/>
          <w:sz-cs w:val="20"/>
        </w:rPr>
        <w:t xml:space="preserve">]. The available communication spectrum is a precious commodity, and the objective</w:t>
      </w:r>
    </w:p>
    <w:p>
      <w:pPr/>
      <w:r>
        <w:rPr>
          <w:rFonts w:ascii="Times" w:hAnsi="Times" w:cs="Times"/>
          <w:sz w:val="20"/>
          <w:sz-cs w:val="20"/>
        </w:rPr>
        <w:t xml:space="preserve">of a CRN is to use the communication bandwidth effectively while attempting to avoid interference</w:t>
      </w:r>
    </w:p>
    <w:p>
      <w:pPr/>
      <w:r>
        <w:rPr>
          <w:rFonts w:ascii="Times" w:hAnsi="Times" w:cs="Times"/>
          <w:sz w:val="20"/>
          <w:sz-cs w:val="20"/>
        </w:rPr>
        <w:t xml:space="preserve">with licensed users. Two main functions necessary for the operation of a CRN are spectrum sensing</w:t>
      </w:r>
    </w:p>
    <w:p>
      <w:pPr/>
      <w:r>
        <w:rPr>
          <w:rFonts w:ascii="Times" w:hAnsi="Times" w:cs="Times"/>
          <w:sz w:val="20"/>
          <w:sz-cs w:val="20"/>
        </w:rPr>
        <w:t xml:space="preserve">and spectrum management. The former detects unused spectrum and the latter decides the optimal</w:t>
      </w:r>
    </w:p>
    <w:p>
      <w:pPr/>
      <w:r>
        <w:rPr>
          <w:rFonts w:ascii="Times" w:hAnsi="Times" w:cs="Times"/>
          <w:sz w:val="20"/>
          <w:sz-cs w:val="20"/>
        </w:rPr>
        <w:t xml:space="preserve">use of the available spectrum. Spectrum sensing in CRNs is based on information provided by the</w:t>
      </w:r>
    </w:p>
    <w:p>
      <w:pPr/>
      <w:r>
        <w:rPr>
          <w:rFonts w:ascii="Times" w:hAnsi="Times" w:cs="Times"/>
          <w:sz w:val="20"/>
          <w:sz-cs w:val="20"/>
        </w:rPr>
        <w:t xml:space="preserve">nodes of the network. The nodes compete for the free channels, and some may supply deliberately</w:t>
      </w:r>
    </w:p>
    <w:p>
      <w:pPr/>
      <w:r>
        <w:rPr>
          <w:rFonts w:ascii="Times" w:hAnsi="Times" w:cs="Times"/>
          <w:sz w:val="20"/>
          <w:sz-cs w:val="20"/>
        </w:rPr>
        <w:t xml:space="preserve">distorted information to gain advantage over the other nodes; thus, trust determination is critical for the</w:t>
      </w:r>
    </w:p>
    <w:p>
      <w:pPr/>
      <w:r>
        <w:rPr>
          <w:rFonts w:ascii="Times" w:hAnsi="Times" w:cs="Times"/>
          <w:sz w:val="20"/>
          <w:sz-cs w:val="20"/>
        </w:rPr>
        <w:t xml:space="preserve">management of CRNs.</w:t>
      </w:r>
    </w:p>
    <w:p>
      <w:pPr/>
      <w:r>
        <w:rPr>
          <w:rFonts w:ascii="Times" w:hAnsi="Times" w:cs="Times"/>
          <w:sz w:val="20"/>
          <w:sz-cs w:val="20"/>
        </w:rPr>
        <w:t xml:space="preserve">Cognitive Radio Networks. Research over the last decade reveals a significant temporal and spatial</w:t>
      </w:r>
    </w:p>
    <w:p>
      <w:pPr/>
      <w:r>
        <w:rPr>
          <w:rFonts w:ascii="Times" w:hAnsi="Times" w:cs="Times"/>
          <w:sz w:val="20"/>
          <w:sz-cs w:val="20"/>
        </w:rPr>
        <w:t xml:space="preserve">underutilization of the allocated spectrum. Thus, there is a motivation to opportunistically harness the</w:t>
      </w:r>
    </w:p>
    <w:p>
      <w:pPr/>
      <w:r>
        <w:rPr>
          <w:rFonts w:ascii="Times" w:hAnsi="Times" w:cs="Times"/>
          <w:sz w:val="20"/>
          <w:sz-cs w:val="20"/>
        </w:rPr>
        <w:t xml:space="preserve">vacancies of spectrum at a given time and place.</w:t>
      </w:r>
    </w:p>
    <w:p>
      <w:pPr/>
      <w:r>
        <w:rPr>
          <w:rFonts w:ascii="Times" w:hAnsi="Times" w:cs="Times"/>
          <w:sz w:val="20"/>
          <w:sz-cs w:val="20"/>
        </w:rPr>
        <w:t xml:space="preserve">The original goal of cognitive radio, first proposed at Bell Labs [</w:t>
      </w:r>
      <w:r>
        <w:rPr>
          <w:rFonts w:ascii="Times" w:hAnsi="Times" w:cs="Times"/>
          <w:sz w:val="20"/>
          <w:sz-cs w:val="20"/>
          <w:color w:val="000066"/>
        </w:rPr>
        <w:t xml:space="preserve">246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247</w:t>
      </w:r>
      <w:r>
        <w:rPr>
          <w:rFonts w:ascii="Times" w:hAnsi="Times" w:cs="Times"/>
          <w:sz w:val="20"/>
          <w:sz-cs w:val="20"/>
        </w:rPr>
        <w:t xml:space="preserve">], was to develop a softwarebased</w:t>
      </w:r>
    </w:p>
    <w:p>
      <w:pPr/>
      <w:r>
        <w:rPr>
          <w:rFonts w:ascii="Times" w:hAnsi="Times" w:cs="Times"/>
          <w:sz w:val="20"/>
          <w:sz-cs w:val="20"/>
        </w:rPr>
        <w:t xml:space="preserve">radio platform that allows a reconfigurable wireless transceiver to automatically adapt its communication</w:t>
      </w:r>
    </w:p>
    <w:p>
      <w:pPr/>
      <w:r>
        <w:rPr>
          <w:rFonts w:ascii="Times" w:hAnsi="Times" w:cs="Times"/>
          <w:sz w:val="20"/>
          <w:sz-cs w:val="20"/>
        </w:rPr>
        <w:t xml:space="preserve">parameters to network availability and to user demands. Today the focus of cognitive radio</w:t>
      </w:r>
    </w:p>
    <w:p>
      <w:pPr/>
      <w:r>
        <w:rPr>
          <w:rFonts w:ascii="Times" w:hAnsi="Times" w:cs="Times"/>
          <w:sz w:val="20"/>
          <w:sz-cs w:val="20"/>
        </w:rPr>
        <w:t xml:space="preserve">is on spectrum sensing [</w:t>
      </w:r>
      <w:r>
        <w:rPr>
          <w:rFonts w:ascii="Times" w:hAnsi="Times" w:cs="Times"/>
          <w:sz w:val="20"/>
          <w:sz-cs w:val="20"/>
          <w:color w:val="000066"/>
        </w:rPr>
        <w:t xml:space="preserve">58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161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We recognize two types of devices connected to a CRN: primary and secondary. </w:t>
      </w:r>
      <w:r>
        <w:rPr>
          <w:rFonts w:ascii="Helvetica" w:hAnsi="Helvetica" w:cs="Helvetica"/>
          <w:sz w:val="20"/>
          <w:sz-cs w:val="20"/>
        </w:rPr>
        <w:t xml:space="preserve">Primary</w:t>
      </w:r>
    </w:p>
    <w:p>
      <w:pPr/>
      <w:r>
        <w:rPr>
          <w:rFonts w:ascii="Times" w:hAnsi="Times" w:cs="Times"/>
          <w:sz w:val="20"/>
          <w:sz-cs w:val="20"/>
        </w:rPr>
        <w:t xml:space="preserve">nodes/devices have exclusive rights to specific regions of the spectrum; </w:t>
      </w:r>
      <w:r>
        <w:rPr>
          <w:rFonts w:ascii="Helvetica" w:hAnsi="Helvetica" w:cs="Helvetica"/>
          <w:sz w:val="20"/>
          <w:sz-cs w:val="20"/>
        </w:rPr>
        <w:t xml:space="preserve">secondary </w:t>
      </w:r>
      <w:r>
        <w:rPr>
          <w:rFonts w:ascii="Times" w:hAnsi="Times" w:cs="Times"/>
          <w:sz w:val="20"/>
          <w:sz-cs w:val="20"/>
        </w:rPr>
        <w:t xml:space="preserve">nodes/devices enjoy</w:t>
      </w:r>
    </w:p>
    <w:p>
      <w:pPr/>
      <w:r>
        <w:rPr>
          <w:rFonts w:ascii="Times" w:hAnsi="Times" w:cs="Times"/>
          <w:sz w:val="20"/>
          <w:sz-cs w:val="20"/>
        </w:rPr>
        <w:t xml:space="preserve">dynamic spectrum access and are able to use a channel, provided that the primary, licensed to use that</w:t>
      </w:r>
    </w:p>
    <w:p>
      <w:pPr/>
      <w:r>
        <w:rPr>
          <w:rFonts w:ascii="Times" w:hAnsi="Times" w:cs="Times"/>
          <w:sz w:val="20"/>
          <w:sz-cs w:val="20"/>
        </w:rPr>
        <w:t xml:space="preserve">channel, is not communicating. Once a primary starts its transmission, the secondary using the channel</w:t>
      </w:r>
    </w:p>
    <w:p>
      <w:pPr/>
      <w:r>
        <w:rPr>
          <w:rFonts w:ascii="Times" w:hAnsi="Times" w:cs="Times"/>
          <w:sz w:val="20"/>
          <w:sz-cs w:val="20"/>
        </w:rPr>
        <w:t xml:space="preserve">is required to relinquish it and identify another free channel to continue its operation. This mode of</w:t>
      </w:r>
    </w:p>
    <w:p>
      <w:pPr/>
      <w:r>
        <w:rPr>
          <w:rFonts w:ascii="Times" w:hAnsi="Times" w:cs="Times"/>
          <w:sz w:val="20"/>
          <w:sz-cs w:val="20"/>
        </w:rPr>
        <w:t xml:space="preserve">operation is called an </w:t>
      </w:r>
      <w:r>
        <w:rPr>
          <w:rFonts w:ascii="Helvetica" w:hAnsi="Helvetica" w:cs="Helvetica"/>
          <w:sz w:val="20"/>
          <w:sz-cs w:val="20"/>
        </w:rPr>
        <w:t xml:space="preserve">overlay mode.</w:t>
      </w:r>
    </w:p>
    <w:p>
      <w:pPr/>
      <w:r>
        <w:rPr>
          <w:rFonts w:ascii="Times" w:hAnsi="Times" w:cs="Times"/>
          <w:sz w:val="20"/>
          <w:sz-cs w:val="20"/>
        </w:rPr>
        <w:t xml:space="preserve">CRNs are often based on a </w:t>
      </w:r>
      <w:r>
        <w:rPr>
          <w:rFonts w:ascii="Helvetica" w:hAnsi="Helvetica" w:cs="Helvetica"/>
          <w:sz w:val="20"/>
          <w:sz-cs w:val="20"/>
        </w:rPr>
        <w:t xml:space="preserve">cooperative spectrum-sensing </w:t>
      </w:r>
      <w:r>
        <w:rPr>
          <w:rFonts w:ascii="Times" w:hAnsi="Times" w:cs="Times"/>
          <w:sz w:val="20"/>
          <w:sz-cs w:val="20"/>
        </w:rPr>
        <w:t xml:space="preserve">strategy. In this mode of operation, each</w:t>
      </w:r>
    </w:p>
    <w:p>
      <w:pPr/>
      <w:r>
        <w:rPr>
          <w:rFonts w:ascii="Times" w:hAnsi="Times" w:cs="Times"/>
          <w:sz w:val="20"/>
          <w:sz-cs w:val="20"/>
        </w:rPr>
        <w:t xml:space="preserve">node determines the occupancy of the spectrum based on its own measurements, combined with information</w:t>
      </w:r>
    </w:p>
    <w:p>
      <w:pPr/>
      <w:r>
        <w:rPr>
          <w:rFonts w:ascii="Times" w:hAnsi="Times" w:cs="Times"/>
          <w:sz w:val="20"/>
          <w:sz-cs w:val="20"/>
        </w:rPr>
        <w:t xml:space="preserve">from its neighbors, and then shares its own spectrum occupancy assessment with its neighbors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129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339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340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Information sharing is necessary because a node alone cannot determine the true spectrum occupancy.</w:t>
      </w:r>
    </w:p>
    <w:p>
      <w:pPr/>
      <w:r>
        <w:rPr>
          <w:rFonts w:ascii="Times" w:hAnsi="Times" w:cs="Times"/>
          <w:sz w:val="20"/>
          <w:sz-cs w:val="20"/>
        </w:rPr>
        <w:t xml:space="preserve">Indeed, a secondary node has a limited transmission and reception range; node mobility combined</w:t>
      </w:r>
    </w:p>
    <w:p>
      <w:pPr/>
      <w:r>
        <w:rPr>
          <w:rFonts w:ascii="Times" w:hAnsi="Times" w:cs="Times"/>
          <w:sz w:val="20"/>
          <w:sz-cs w:val="20"/>
        </w:rPr>
        <w:t xml:space="preserve">with typical wireless channel impairments, such as multipath fading, shadowing, and noise, add to the</w:t>
      </w:r>
    </w:p>
    <w:p>
      <w:pPr/>
      <w:r>
        <w:rPr>
          <w:rFonts w:ascii="Times" w:hAnsi="Times" w:cs="Times"/>
          <w:sz w:val="20"/>
          <w:sz-cs w:val="20"/>
        </w:rPr>
        <w:t xml:space="preserve">difficulty of gathering accurate information by a single node.</w:t>
      </w:r>
    </w:p>
    <w:p>
      <w:pPr/>
      <w:r>
        <w:rPr>
          <w:rFonts w:ascii="Times" w:hAnsi="Times" w:cs="Times"/>
          <w:sz w:val="20"/>
          <w:sz-cs w:val="20"/>
        </w:rPr>
        <w:t xml:space="preserve">Individual nodes of a centralized or infrastructure-based CRN send the results of their measurements</w:t>
      </w:r>
    </w:p>
    <w:p>
      <w:pPr/>
      <w:r>
        <w:rPr>
          <w:rFonts w:ascii="Times" w:hAnsi="Times" w:cs="Times"/>
          <w:sz w:val="20"/>
          <w:sz-cs w:val="20"/>
        </w:rPr>
        <w:t xml:space="preserve">regarding spectrum occupancy to a central entity, whether a base station, an access point, or a cluster</w:t>
      </w:r>
    </w:p>
    <w:p>
      <w:pPr/>
      <w:r>
        <w:rPr>
          <w:rFonts w:ascii="Times" w:hAnsi="Times" w:cs="Times"/>
          <w:sz w:val="20"/>
          <w:sz-cs w:val="20"/>
        </w:rPr>
        <w:t xml:space="preserve">head. This entity uses a set of </w:t>
      </w:r>
      <w:r>
        <w:rPr>
          <w:rFonts w:ascii="Helvetica" w:hAnsi="Helvetica" w:cs="Helvetica"/>
          <w:sz w:val="20"/>
          <w:sz-cs w:val="20"/>
        </w:rPr>
        <w:t xml:space="preserve">fusion rules </w:t>
      </w:r>
      <w:r>
        <w:rPr>
          <w:rFonts w:ascii="Times" w:hAnsi="Times" w:cs="Times"/>
          <w:sz w:val="20"/>
          <w:sz-cs w:val="20"/>
        </w:rPr>
        <w:t xml:space="preserve">to generate the spectrum occupancy report and then distributes</w:t>
      </w:r>
    </w:p>
    <w:p>
      <w:pPr/>
      <w:r>
        <w:rPr>
          <w:rFonts w:ascii="Times" w:hAnsi="Times" w:cs="Times"/>
          <w:sz w:val="20"/>
          <w:sz-cs w:val="20"/>
        </w:rPr>
        <w:t xml:space="preserve">it to the nodes in its jurisdiction. The area covered by such networks is usually small since global spectrum</w:t>
      </w:r>
    </w:p>
    <w:p>
      <w:pPr/>
      <w:r>
        <w:rPr>
          <w:rFonts w:ascii="Times" w:hAnsi="Times" w:cs="Times"/>
          <w:sz w:val="20"/>
          <w:sz-cs w:val="20"/>
        </w:rPr>
        <w:t xml:space="preserve">decisions are affected by the local geography.</w:t>
      </w:r>
    </w:p>
    <w:p>
      <w:pPr/>
      <w:r>
        <w:rPr>
          <w:rFonts w:ascii="Times" w:hAnsi="Times" w:cs="Times"/>
          <w:sz w:val="20"/>
          <w:sz-cs w:val="20"/>
        </w:rPr>
        <w:t xml:space="preserve">There is another mode of operation based on the idea that a secondary node operates at a much lower</w:t>
      </w:r>
    </w:p>
    <w:p>
      <w:pPr/>
      <w:r>
        <w:rPr>
          <w:rFonts w:ascii="Times" w:hAnsi="Times" w:cs="Times"/>
          <w:sz w:val="20"/>
          <w:sz-cs w:val="20"/>
        </w:rPr>
        <w:t xml:space="preserve">power level than a primary one. In this case the secondary can share the channel with the primary as long as its transmission power is below a threshold, </w:t>
      </w:r>
      <w:r>
        <w:rPr>
          <w:rFonts w:ascii="Helvetica" w:hAnsi="Helvetica" w:cs="Helvetica"/>
          <w:sz w:val="20"/>
          <w:sz-cs w:val="20"/>
        </w:rPr>
        <w:t xml:space="preserve">μ</w:t>
      </w:r>
      <w:r>
        <w:rPr>
          <w:rFonts w:ascii="Times" w:hAnsi="Times" w:cs="Times"/>
          <w:sz w:val="20"/>
          <w:sz-cs w:val="20"/>
        </w:rPr>
        <w:t xml:space="preserve">, that has to be determined periodically. In this</w:t>
      </w:r>
    </w:p>
    <w:p>
      <w:pPr/>
      <w:r>
        <w:rPr>
          <w:rFonts w:ascii="Times" w:hAnsi="Times" w:cs="Times"/>
          <w:sz w:val="20"/>
          <w:sz-cs w:val="20"/>
        </w:rPr>
        <w:t xml:space="preserve">scenario the receivers that want to listen to the primary are able to filter out the “noise” caused by the</w:t>
      </w:r>
    </w:p>
    <w:p>
      <w:pPr/>
      <w:r>
        <w:rPr>
          <w:rFonts w:ascii="Times" w:hAnsi="Times" w:cs="Times"/>
          <w:sz w:val="20"/>
          <w:sz-cs w:val="20"/>
        </w:rPr>
        <w:t xml:space="preserve">transmission initiated by secondaries if the signal-to-noise ratio, </w:t>
      </w:r>
      <w:r>
        <w:rPr>
          <w:rFonts w:ascii="Helvetica" w:hAnsi="Helvetica" w:cs="Helvetica"/>
          <w:sz w:val="20"/>
          <w:sz-cs w:val="20"/>
        </w:rPr>
        <w:t xml:space="preserve">(S/N)</w:t>
      </w:r>
      <w:r>
        <w:rPr>
          <w:rFonts w:ascii="Times" w:hAnsi="Times" w:cs="Times"/>
          <w:sz w:val="20"/>
          <w:sz-cs w:val="20"/>
        </w:rPr>
        <w:t xml:space="preserve">, is large enough.</w:t>
      </w:r>
    </w:p>
    <w:p>
      <w:pPr/>
      <w:r>
        <w:rPr>
          <w:rFonts w:ascii="Times" w:hAnsi="Times" w:cs="Times"/>
          <w:sz w:val="20"/>
          <w:sz-cs w:val="20"/>
        </w:rPr>
        <w:t xml:space="preserve">We are only concerned with the overlay mode whereby a secondary node maintains an </w:t>
      </w:r>
      <w:r>
        <w:rPr>
          <w:rFonts w:ascii="Helvetica" w:hAnsi="Helvetica" w:cs="Helvetica"/>
          <w:sz w:val="20"/>
          <w:sz-cs w:val="20"/>
        </w:rPr>
        <w:t xml:space="preserve">occupancy</w:t>
      </w:r>
    </w:p>
    <w:p>
      <w:pPr/>
      <w:r>
        <w:rPr>
          <w:rFonts w:ascii="Helvetica" w:hAnsi="Helvetica" w:cs="Helvetica"/>
          <w:sz w:val="20"/>
          <w:sz-cs w:val="20"/>
        </w:rPr>
        <w:t xml:space="preserve">report</w:t>
      </w:r>
      <w:r>
        <w:rPr>
          <w:rFonts w:ascii="Times" w:hAnsi="Times" w:cs="Times"/>
          <w:sz w:val="20"/>
          <w:sz-cs w:val="20"/>
        </w:rPr>
        <w:t xml:space="preserve">, which gives a snapshot of the current status of the channels in the region of the spectrum it is</w:t>
      </w:r>
    </w:p>
    <w:p>
      <w:pPr/>
      <w:r>
        <w:rPr>
          <w:rFonts w:ascii="Times" w:hAnsi="Times" w:cs="Times"/>
          <w:sz w:val="20"/>
          <w:sz-cs w:val="20"/>
        </w:rPr>
        <w:t xml:space="preserve">able to access. The occupancy report is a list of all the channels and their state, e.g., 0 if the channel is</w:t>
      </w:r>
    </w:p>
    <w:p>
      <w:pPr/>
      <w:r>
        <w:rPr>
          <w:rFonts w:ascii="Times" w:hAnsi="Times" w:cs="Times"/>
          <w:sz w:val="20"/>
          <w:sz-cs w:val="20"/>
        </w:rPr>
        <w:t xml:space="preserve">free for use and 1 if the primary is active. Secondary nodes continually sense the channels available to</w:t>
      </w:r>
    </w:p>
    <w:p>
      <w:pPr/>
      <w:r>
        <w:rPr>
          <w:rFonts w:ascii="Times" w:hAnsi="Times" w:cs="Times"/>
          <w:sz w:val="20"/>
          <w:sz-cs w:val="20"/>
        </w:rPr>
        <w:t xml:space="preserve">them to gather accurate information about available channels.</w:t>
      </w:r>
    </w:p>
    <w:p>
      <w:pPr/>
      <w:r>
        <w:rPr>
          <w:rFonts w:ascii="Times" w:hAnsi="Times" w:cs="Times"/>
          <w:sz w:val="20"/>
          <w:sz-cs w:val="20"/>
        </w:rPr>
        <w:t xml:space="preserve">The secondary nodes of an ad hoc CRN compete for free channels, and the information one node may</w:t>
      </w:r>
    </w:p>
    <w:p>
      <w:pPr/>
      <w:r>
        <w:rPr>
          <w:rFonts w:ascii="Times" w:hAnsi="Times" w:cs="Times"/>
          <w:sz w:val="20"/>
          <w:sz-cs w:val="20"/>
        </w:rPr>
        <w:t xml:space="preserve">provide to its neighbors could be deliberately distorted. Malicious nodes will send false information</w:t>
      </w:r>
    </w:p>
    <w:p>
      <w:pPr/>
      <w:r>
        <w:rPr>
          <w:rFonts w:ascii="Times" w:hAnsi="Times" w:cs="Times"/>
          <w:sz w:val="20"/>
          <w:sz-cs w:val="20"/>
        </w:rPr>
        <w:t xml:space="preserve">to the fusion center in a centralized CRN. Malicious nodes could attempt to deny the service or to</w:t>
      </w:r>
    </w:p>
    <w:p>
      <w:pPr/>
      <w:r>
        <w:rPr>
          <w:rFonts w:ascii="Times" w:hAnsi="Times" w:cs="Times"/>
          <w:sz w:val="20"/>
          <w:sz-cs w:val="20"/>
        </w:rPr>
        <w:t xml:space="preserve">cause other secondary nodes to violate spectrum allocation rules. To </w:t>
      </w:r>
      <w:r>
        <w:rPr>
          <w:rFonts w:ascii="Helvetica" w:hAnsi="Helvetica" w:cs="Helvetica"/>
          <w:sz w:val="20"/>
          <w:sz-cs w:val="20"/>
        </w:rPr>
        <w:t xml:space="preserve">deny the service</w:t>
      </w:r>
      <w:r>
        <w:rPr>
          <w:rFonts w:ascii="Times" w:hAnsi="Times" w:cs="Times"/>
          <w:sz w:val="20"/>
          <w:sz-cs w:val="20"/>
        </w:rPr>
        <w:t xml:space="preserve">, a node will report</w:t>
      </w:r>
    </w:p>
    <w:p>
      <w:pPr/>
      <w:r>
        <w:rPr>
          <w:rFonts w:ascii="Times" w:hAnsi="Times" w:cs="Times"/>
          <w:sz w:val="20"/>
          <w:sz-cs w:val="20"/>
        </w:rPr>
        <w:t xml:space="preserve">that free channels are used by the primary. To entice the neighbors to commit Federal Communication</w:t>
      </w:r>
    </w:p>
    <w:p>
      <w:pPr/>
      <w:r>
        <w:rPr>
          <w:rFonts w:ascii="Times" w:hAnsi="Times" w:cs="Times"/>
          <w:sz w:val="20"/>
          <w:sz-cs w:val="20"/>
        </w:rPr>
        <w:t xml:space="preserve">Commission (FCC) violations, the occupancy report will show that channels used by the primary are</w:t>
      </w:r>
    </w:p>
    <w:p>
      <w:pPr/>
      <w:r>
        <w:rPr>
          <w:rFonts w:ascii="Times" w:hAnsi="Times" w:cs="Times"/>
          <w:sz w:val="20"/>
          <w:sz-cs w:val="20"/>
        </w:rPr>
        <w:t xml:space="preserve">free. This attack strategy is called a </w:t>
      </w:r>
      <w:r>
        <w:rPr>
          <w:rFonts w:ascii="Helvetica" w:hAnsi="Helvetica" w:cs="Helvetica"/>
          <w:sz w:val="20"/>
          <w:sz-cs w:val="20"/>
        </w:rPr>
        <w:t xml:space="preserve">secondary spectrum data falsification (SSDF)</w:t>
      </w:r>
      <w:r>
        <w:rPr>
          <w:rFonts w:ascii="Times" w:hAnsi="Times" w:cs="Times"/>
          <w:sz w:val="20"/>
          <w:sz-cs w:val="20"/>
        </w:rPr>
        <w:t xml:space="preserve">, or Byzantine, attack.</w:t>
      </w:r>
      <w:r>
        <w:rPr>
          <w:rFonts w:ascii="Times" w:hAnsi="Times" w:cs="Times"/>
          <w:sz w:val="15"/>
          <w:sz-cs w:val="15"/>
          <w:color w:val="000066"/>
        </w:rPr>
        <w:t xml:space="preserve">5</w:t>
      </w:r>
    </w:p>
    <w:p>
      <w:pPr/>
      <w:r>
        <w:rPr>
          <w:rFonts w:ascii="Times" w:hAnsi="Times" w:cs="Times"/>
          <w:sz w:val="20"/>
          <w:sz-cs w:val="20"/>
        </w:rPr>
        <w:t xml:space="preserve">Thus, trust determination is a critical issue for CR networks.</w:t>
      </w:r>
    </w:p>
    <w:p>
      <w:pPr/>
      <w:r>
        <w:rPr>
          <w:rFonts w:ascii="Times" w:hAnsi="Times" w:cs="Times"/>
          <w:sz w:val="20"/>
          <w:sz-cs w:val="20"/>
        </w:rPr>
        <w:t xml:space="preserve">Trust. The actual meaning of </w:t>
      </w:r>
      <w:r>
        <w:rPr>
          <w:rFonts w:ascii="Helvetica" w:hAnsi="Helvetica" w:cs="Helvetica"/>
          <w:sz w:val="20"/>
          <w:sz-cs w:val="20"/>
        </w:rPr>
        <w:t xml:space="preserve">trust </w:t>
      </w:r>
      <w:r>
        <w:rPr>
          <w:rFonts w:ascii="Times" w:hAnsi="Times" w:cs="Times"/>
          <w:sz w:val="20"/>
          <w:sz-cs w:val="20"/>
        </w:rPr>
        <w:t xml:space="preserve">is domain and context specific. Consider, for example, networking;</w:t>
      </w:r>
    </w:p>
    <w:p>
      <w:pPr/>
      <w:r>
        <w:rPr>
          <w:rFonts w:ascii="Times" w:hAnsi="Times" w:cs="Times"/>
          <w:sz w:val="20"/>
          <w:sz-cs w:val="20"/>
        </w:rPr>
        <w:t xml:space="preserve">at the MAC layer the multiple-access protocols assume that all senders follow the channel access</w:t>
      </w:r>
    </w:p>
    <w:p>
      <w:pPr/>
      <w:r>
        <w:rPr>
          <w:rFonts w:ascii="Times" w:hAnsi="Times" w:cs="Times"/>
          <w:sz w:val="20"/>
          <w:sz-cs w:val="20"/>
        </w:rPr>
        <w:t xml:space="preserve">policy, e.g., in Carrier SenseMultiple Access with Collision Detection (CSMA-CD) a sender senses the</w:t>
      </w:r>
    </w:p>
    <w:p>
      <w:pPr/>
      <w:r>
        <w:rPr>
          <w:rFonts w:ascii="Times" w:hAnsi="Times" w:cs="Times"/>
          <w:sz w:val="20"/>
          <w:sz-cs w:val="20"/>
        </w:rPr>
        <w:t xml:space="preserve">channel and then attempts to transmit if no one else does. In a store-and-forward network, trust assumes</w:t>
      </w:r>
    </w:p>
    <w:p>
      <w:pPr/>
      <w:r>
        <w:rPr>
          <w:rFonts w:ascii="Times" w:hAnsi="Times" w:cs="Times"/>
          <w:sz w:val="20"/>
          <w:sz-cs w:val="20"/>
        </w:rPr>
        <w:t xml:space="preserve">that all routers follow a best-effort policy to forward packets toward their destination.</w:t>
      </w:r>
    </w:p>
    <w:p>
      <w:pPr/>
      <w:r>
        <w:rPr>
          <w:rFonts w:ascii="Times" w:hAnsi="Times" w:cs="Times"/>
          <w:sz w:val="20"/>
          <w:sz-cs w:val="20"/>
        </w:rPr>
        <w:t xml:space="preserve">In the context of cognitive radio, trust is based on the quality of information regarding the channel</w:t>
      </w:r>
    </w:p>
    <w:p>
      <w:pPr/>
      <w:r>
        <w:rPr>
          <w:rFonts w:ascii="Times" w:hAnsi="Times" w:cs="Times"/>
          <w:sz w:val="20"/>
          <w:sz-cs w:val="20"/>
        </w:rPr>
        <w:t xml:space="preserve">activity provided by a node. The status of individual channels can be assessed by each node based on</w:t>
      </w:r>
    </w:p>
    <w:p>
      <w:pPr/>
      <w:r>
        <w:rPr>
          <w:rFonts w:ascii="Times" w:hAnsi="Times" w:cs="Times"/>
          <w:sz w:val="20"/>
          <w:sz-cs w:val="20"/>
        </w:rPr>
        <w:t xml:space="preserve">the results of its own measurements, combined with the information provided by its neighbors, as is the</w:t>
      </w:r>
    </w:p>
    <w:p>
      <w:pPr/>
      <w:r>
        <w:rPr>
          <w:rFonts w:ascii="Times" w:hAnsi="Times" w:cs="Times"/>
          <w:sz w:val="20"/>
          <w:sz-cs w:val="20"/>
        </w:rPr>
        <w:t xml:space="preserve">case of several algorithms discussed in the literature [</w:t>
      </w:r>
      <w:r>
        <w:rPr>
          <w:rFonts w:ascii="Times" w:hAnsi="Times" w:cs="Times"/>
          <w:sz w:val="20"/>
          <w:sz-cs w:val="20"/>
          <w:color w:val="000066"/>
        </w:rPr>
        <w:t xml:space="preserve">68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339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alternative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11.11 </w:t>
      </w:r>
      <w:r>
        <w:rPr>
          <w:rFonts w:ascii="Times" w:hAnsi="Times" w:cs="Times"/>
          <w:sz w:val="20"/>
          <w:sz-cs w:val="20"/>
        </w:rPr>
        <w:t xml:space="preserve">is to have a cloud-based service that collects information</w:t>
      </w:r>
    </w:p>
    <w:p>
      <w:pPr/>
      <w:r>
        <w:rPr>
          <w:rFonts w:ascii="Times" w:hAnsi="Times" w:cs="Times"/>
          <w:sz w:val="20"/>
          <w:sz-cs w:val="20"/>
        </w:rPr>
        <w:t xml:space="preserve">from individual nodes, evaluates the state of each channel based on the information received, and</w:t>
      </w:r>
    </w:p>
    <w:p>
      <w:pPr/>
      <w:r>
        <w:rPr>
          <w:rFonts w:ascii="Times" w:hAnsi="Times" w:cs="Times"/>
          <w:sz w:val="20"/>
          <w:sz-cs w:val="20"/>
        </w:rPr>
        <w:t xml:space="preserve">supplies this information on demand. Evaluation of the trust and identification of untrustworthy nodes</w:t>
      </w:r>
    </w:p>
    <w:p>
      <w:pPr/>
      <w:r>
        <w:rPr>
          <w:rFonts w:ascii="Times" w:hAnsi="Times" w:cs="Times"/>
          <w:sz w:val="20"/>
          <w:sz-cs w:val="20"/>
        </w:rPr>
        <w:t xml:space="preserve">are critical for both strategies [</w:t>
      </w:r>
      <w:r>
        <w:rPr>
          <w:rFonts w:ascii="Times" w:hAnsi="Times" w:cs="Times"/>
          <w:sz w:val="20"/>
          <w:sz-cs w:val="20"/>
          <w:color w:val="000066"/>
        </w:rPr>
        <w:t xml:space="preserve">284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Distributed Algorithm for TrustManagement in Cognitive Radio. The algorithm computes the</w:t>
      </w:r>
    </w:p>
    <w:p>
      <w:pPr/>
      <w:r>
        <w:rPr>
          <w:rFonts w:ascii="Times" w:hAnsi="Times" w:cs="Times"/>
          <w:sz w:val="20"/>
          <w:sz-cs w:val="20"/>
        </w:rPr>
        <w:t xml:space="preserve">trust of node 1 </w:t>
      </w:r>
      <w:r>
        <w:rPr>
          <w:rFonts w:ascii="Helvetica" w:hAnsi="Helvetica" w:cs="Helvetica"/>
          <w:sz w:val="20"/>
          <w:sz-cs w:val="20"/>
        </w:rPr>
        <w:t xml:space="preserve">  i   n </w:t>
      </w:r>
      <w:r>
        <w:rPr>
          <w:rFonts w:ascii="Times" w:hAnsi="Times" w:cs="Times"/>
          <w:sz w:val="20"/>
          <w:sz-cs w:val="20"/>
        </w:rPr>
        <w:t xml:space="preserve">in each node in its vicinity, </w:t>
      </w:r>
      <w:r>
        <w:rPr>
          <w:rFonts w:ascii="Helvetica" w:hAnsi="Helvetica" w:cs="Helvetica"/>
          <w:sz w:val="20"/>
          <w:sz-cs w:val="20"/>
        </w:rPr>
        <w:t xml:space="preserve">j ∈ V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requires several preliminary steps. The</w:t>
      </w:r>
    </w:p>
    <w:p>
      <w:pPr/>
      <w:r>
        <w:rPr>
          <w:rFonts w:ascii="Times" w:hAnsi="Times" w:cs="Times"/>
          <w:sz w:val="20"/>
          <w:sz-cs w:val="20"/>
        </w:rPr>
        <w:t xml:space="preserve">basic steps executed by a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at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are: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Determine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’s version of the occupancy report for each one of the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channels: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 = {s</w:t>
      </w:r>
      <w:r>
        <w:rPr>
          <w:rFonts w:ascii="Helvetica" w:hAnsi="Helvetica" w:cs="Helvetica"/>
          <w:sz w:val="15"/>
          <w:sz-cs w:val="15"/>
        </w:rPr>
        <w:t xml:space="preserve">i ,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(t), s</w:t>
      </w:r>
      <w:r>
        <w:rPr>
          <w:rFonts w:ascii="Helvetica" w:hAnsi="Helvetica" w:cs="Helvetica"/>
          <w:sz w:val="15"/>
          <w:sz-cs w:val="15"/>
        </w:rPr>
        <w:t xml:space="preserve">i ,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(t), . . . , s</w:t>
      </w:r>
      <w:r>
        <w:rPr>
          <w:rFonts w:ascii="Helvetica" w:hAnsi="Helvetica" w:cs="Helvetica"/>
          <w:sz w:val="15"/>
          <w:sz-cs w:val="15"/>
        </w:rPr>
        <w:t xml:space="preserve">i ,K </w:t>
      </w:r>
      <w:r>
        <w:rPr>
          <w:rFonts w:ascii="Helvetica" w:hAnsi="Helvetica" w:cs="Helvetica"/>
          <w:sz w:val="20"/>
          <w:sz-cs w:val="20"/>
        </w:rPr>
        <w:t xml:space="preserve">(t)} </w:t>
      </w:r>
      <w:r>
        <w:rPr>
          <w:rFonts w:ascii="Times" w:hAnsi="Times" w:cs="Times"/>
          <w:sz w:val="20"/>
          <w:sz-cs w:val="20"/>
        </w:rPr>
        <w:t xml:space="preserve">(11.1)</w:t>
      </w:r>
    </w:p>
    <w:p>
      <w:pPr/>
      <w:r>
        <w:rPr>
          <w:rFonts w:ascii="Times" w:hAnsi="Times" w:cs="Times"/>
          <w:sz w:val="20"/>
          <w:sz-cs w:val="20"/>
        </w:rPr>
        <w:t xml:space="preserve">In this step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measures the power received on each of the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channels.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Determine the set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of the nodes in the vicinity of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broadcasts a message and</w:t>
      </w:r>
    </w:p>
    <w:p>
      <w:pPr/>
      <w:r>
        <w:rPr>
          <w:rFonts w:ascii="Times" w:hAnsi="Times" w:cs="Times"/>
          <w:sz w:val="20"/>
          <w:sz-cs w:val="20"/>
        </w:rPr>
        <w:t xml:space="preserve">individual nodes in its vicinity respond with their </w:t>
      </w:r>
      <w:r>
        <w:rPr>
          <w:rFonts w:ascii="Courier" w:hAnsi="Courier" w:cs="Courier"/>
          <w:sz w:val="20"/>
          <w:sz-cs w:val="20"/>
        </w:rPr>
        <w:t xml:space="preserve">NodeId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Determine the distance to each node </w:t>
      </w:r>
      <w:r>
        <w:rPr>
          <w:rFonts w:ascii="Helvetica" w:hAnsi="Helvetica" w:cs="Helvetica"/>
          <w:sz w:val="20"/>
          <w:sz-cs w:val="20"/>
        </w:rPr>
        <w:t xml:space="preserve">j ∈ V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using the algorithm described in this section.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Infer the power as measured by each node </w:t>
      </w:r>
      <w:r>
        <w:rPr>
          <w:rFonts w:ascii="Helvetica" w:hAnsi="Helvetica" w:cs="Helvetica"/>
          <w:sz w:val="20"/>
          <w:sz-cs w:val="20"/>
        </w:rPr>
        <w:t xml:space="preserve">j ∈ V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on each channel </w:t>
      </w:r>
      <w:r>
        <w:rPr>
          <w:rFonts w:ascii="Helvetica" w:hAnsi="Helvetica" w:cs="Helvetica"/>
          <w:sz w:val="20"/>
          <w:sz-cs w:val="20"/>
        </w:rPr>
        <w:t xml:space="preserve">k ∈ K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Use the location and power information determined in the previous two steps to infer the status of</w:t>
      </w:r>
    </w:p>
    <w:p>
      <w:pPr/>
      <w:r>
        <w:rPr>
          <w:rFonts w:ascii="Times" w:hAnsi="Times" w:cs="Times"/>
          <w:sz w:val="20"/>
          <w:sz-cs w:val="20"/>
        </w:rPr>
        <w:t xml:space="preserve">each channel: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(t),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  k   K, j ∈ V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(t). </w:t>
      </w:r>
      <w:r>
        <w:rPr>
          <w:rFonts w:ascii="Times" w:hAnsi="Times" w:cs="Times"/>
          <w:sz w:val="20"/>
          <w:sz-cs w:val="20"/>
        </w:rPr>
        <w:t xml:space="preserve">(11.2)</w:t>
      </w:r>
    </w:p>
    <w:p>
      <w:pPr/>
      <w:r>
        <w:rPr>
          <w:rFonts w:ascii="Times" w:hAnsi="Times" w:cs="Times"/>
          <w:sz w:val="20"/>
          <w:sz-cs w:val="20"/>
        </w:rPr>
        <w:t xml:space="preserve">A secondary 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should have determined 0 if the channel is free for use, 1 if the primary node is</w:t>
      </w:r>
    </w:p>
    <w:p>
      <w:pPr/>
      <w:r>
        <w:rPr>
          <w:rFonts w:ascii="Times" w:hAnsi="Times" w:cs="Times"/>
          <w:sz w:val="20"/>
          <w:sz-cs w:val="20"/>
        </w:rPr>
        <w:t xml:space="preserve">active, and </w:t>
      </w:r>
      <w:r>
        <w:rPr>
          <w:rFonts w:ascii="Helvetica" w:hAnsi="Helvetica" w:cs="Helvetica"/>
          <w:sz w:val="20"/>
          <w:sz-cs w:val="20"/>
        </w:rPr>
        <w:t xml:space="preserve">X </w:t>
      </w:r>
      <w:r>
        <w:rPr>
          <w:rFonts w:ascii="Times" w:hAnsi="Times" w:cs="Times"/>
          <w:sz w:val="20"/>
          <w:sz-cs w:val="20"/>
        </w:rPr>
        <w:t xml:space="preserve">if it cannot be determined.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⎧⎨</w:t>
      </w:r>
    </w:p>
    <w:p>
      <w:pPr/>
      <w:r>
        <w:rPr>
          <w:rFonts w:ascii="Helvetica" w:hAnsi="Helvetica" w:cs="Helvetica"/>
          <w:sz w:val="20"/>
          <w:sz-cs w:val="20"/>
        </w:rPr>
        <w:t xml:space="preserve">⎩</w:t>
      </w:r>
    </w:p>
    <w:p>
      <w:pPr/>
      <w:r>
        <w:rPr>
          <w:rFonts w:ascii="Times" w:hAnsi="Times" w:cs="Times"/>
          <w:sz w:val="20"/>
          <w:sz-cs w:val="20"/>
        </w:rPr>
        <w:t xml:space="preserve">0 if secondary 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decides that channel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free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1 if secondary 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decides that channel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used by the primary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X </w:t>
      </w:r>
      <w:r>
        <w:rPr>
          <w:rFonts w:ascii="Times" w:hAnsi="Times" w:cs="Times"/>
          <w:sz w:val="20"/>
          <w:sz-cs w:val="20"/>
        </w:rPr>
        <w:t xml:space="preserve">if no inference can be made</w:t>
      </w:r>
      <w:r>
        <w:rPr>
          <w:rFonts w:ascii="Helvetica" w:hAnsi="Helvetica" w:cs="Helvetica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(11.3)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Receive the information provided by neighbor </w:t>
      </w:r>
      <w:r>
        <w:rPr>
          <w:rFonts w:ascii="Helvetica" w:hAnsi="Helvetica" w:cs="Helvetica"/>
          <w:sz w:val="20"/>
          <w:sz-cs w:val="20"/>
        </w:rPr>
        <w:t xml:space="preserve">j ∈ V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(t), S</w:t>
      </w:r>
      <w:r>
        <w:rPr>
          <w:rFonts w:ascii="Helvetica" w:hAnsi="Helvetica" w:cs="Helvetica"/>
          <w:sz w:val="15"/>
          <w:sz-cs w:val="15"/>
        </w:rPr>
        <w:t xml:space="preserve">recv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7. </w:t>
      </w:r>
      <w:r>
        <w:rPr>
          <w:rFonts w:ascii="Times" w:hAnsi="Times" w:cs="Times"/>
          <w:sz w:val="20"/>
          <w:sz-cs w:val="20"/>
        </w:rPr>
        <w:t xml:space="preserve">Compare the information provided by neighbor </w:t>
      </w:r>
      <w:r>
        <w:rPr>
          <w:rFonts w:ascii="Helvetica" w:hAnsi="Helvetica" w:cs="Helvetica"/>
          <w:sz w:val="20"/>
          <w:sz-cs w:val="20"/>
        </w:rPr>
        <w:t xml:space="preserve">j ∈ V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recv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recv</w:t>
      </w:r>
    </w:p>
    <w:p>
      <w:pPr/>
      <w:r>
        <w:rPr>
          <w:rFonts w:ascii="Helvetica" w:hAnsi="Helvetica" w:cs="Helvetica"/>
          <w:sz w:val="15"/>
          <w:sz-cs w:val="15"/>
        </w:rPr>
        <w:t xml:space="preserve">i ,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 j </w:t>
      </w:r>
      <w:r>
        <w:rPr>
          <w:rFonts w:ascii="Helvetica" w:hAnsi="Helvetica" w:cs="Helvetica"/>
          <w:sz w:val="20"/>
          <w:sz-cs w:val="20"/>
        </w:rPr>
        <w:t xml:space="preserve">(t), s</w:t>
      </w:r>
      <w:r>
        <w:rPr>
          <w:rFonts w:ascii="Helvetica" w:hAnsi="Helvetica" w:cs="Helvetica"/>
          <w:sz w:val="15"/>
          <w:sz-cs w:val="15"/>
        </w:rPr>
        <w:t xml:space="preserve">recv</w:t>
      </w:r>
    </w:p>
    <w:p>
      <w:pPr/>
      <w:r>
        <w:rPr>
          <w:rFonts w:ascii="Helvetica" w:hAnsi="Helvetica" w:cs="Helvetica"/>
          <w:sz w:val="15"/>
          <w:sz-cs w:val="15"/>
        </w:rPr>
        <w:t xml:space="preserve">i ,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 j </w:t>
      </w:r>
      <w:r>
        <w:rPr>
          <w:rFonts w:ascii="Helvetica" w:hAnsi="Helvetica" w:cs="Helvetica"/>
          <w:sz w:val="20"/>
          <w:sz-cs w:val="20"/>
        </w:rPr>
        <w:t xml:space="preserve">(t), . . . , s</w:t>
      </w:r>
      <w:r>
        <w:rPr>
          <w:rFonts w:ascii="Helvetica" w:hAnsi="Helvetica" w:cs="Helvetica"/>
          <w:sz w:val="15"/>
          <w:sz-cs w:val="15"/>
        </w:rPr>
        <w:t xml:space="preserve">recv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(11.4)</w:t>
      </w:r>
    </w:p>
    <w:p>
      <w:pPr/>
      <w:r>
        <w:rPr>
          <w:rFonts w:ascii="Times" w:hAnsi="Times" w:cs="Times"/>
          <w:sz w:val="20"/>
          <w:sz-cs w:val="20"/>
        </w:rPr>
        <w:t xml:space="preserve">with the information inferred by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about 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, j </w:t>
      </w:r>
      <w:r>
        <w:rPr>
          <w:rFonts w:ascii="Helvetica" w:hAnsi="Helvetica" w:cs="Helvetica"/>
          <w:sz w:val="20"/>
          <w:sz-cs w:val="20"/>
        </w:rPr>
        <w:t xml:space="preserve">(t), 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, j </w:t>
      </w:r>
      <w:r>
        <w:rPr>
          <w:rFonts w:ascii="Helvetica" w:hAnsi="Helvetica" w:cs="Helvetica"/>
          <w:sz w:val="20"/>
          <w:sz-cs w:val="20"/>
        </w:rPr>
        <w:t xml:space="preserve">(t), . . . , 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(11.5)</w:t>
      </w:r>
    </w:p>
    <w:p>
      <w:pPr/>
      <w:r>
        <w:rPr>
          <w:rFonts w:ascii="Helvetica" w:hAnsi="Helvetica" w:cs="Helvetica"/>
          <w:sz w:val="20"/>
          <w:sz-cs w:val="20"/>
        </w:rPr>
        <w:t xml:space="preserve">8. </w:t>
      </w:r>
      <w:r>
        <w:rPr>
          <w:rFonts w:ascii="Times" w:hAnsi="Times" w:cs="Times"/>
          <w:sz w:val="20"/>
          <w:sz-cs w:val="20"/>
        </w:rPr>
        <w:t xml:space="preserve">Compute the number of matches, mismatches, and cases when no inference is possible, respectively,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 =M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(t), S</w:t>
      </w:r>
      <w:r>
        <w:rPr>
          <w:rFonts w:ascii="Helvetica" w:hAnsi="Helvetica" w:cs="Helvetica"/>
          <w:sz w:val="15"/>
          <w:sz-cs w:val="15"/>
        </w:rPr>
        <w:t xml:space="preserve">recv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(11.6)</w:t>
      </w:r>
    </w:p>
    <w:p>
      <w:pPr/>
      <w:r>
        <w:rPr>
          <w:rFonts w:ascii="Times" w:hAnsi="Times" w:cs="Times"/>
          <w:sz w:val="20"/>
          <w:sz-cs w:val="20"/>
        </w:rPr>
        <w:t xml:space="preserve">with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20"/>
          <w:sz-cs w:val="20"/>
        </w:rPr>
        <w:t xml:space="preserve">the number of matches between the two vectors and</w:t>
      </w:r>
    </w:p>
    <w:p>
      <w:pPr/>
      <w:r>
        <w:rPr>
          <w:rFonts w:ascii="Helvetica" w:hAnsi="Helvetica" w:cs="Helvetica"/>
          <w:sz w:val="20"/>
          <w:sz-cs w:val="20"/>
        </w:rPr>
        <w:t xml:space="preserve">β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 = 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S</w:t>
      </w:r>
      <w:r>
        <w:rPr>
          <w:rFonts w:ascii="Helvetica" w:hAnsi="Helvetica" w:cs="Helvetica"/>
          <w:sz w:val="15"/>
          <w:sz-cs w:val="15"/>
        </w:rPr>
        <w:t xml:space="preserve">infer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(t), S</w:t>
      </w:r>
      <w:r>
        <w:rPr>
          <w:rFonts w:ascii="Helvetica" w:hAnsi="Helvetica" w:cs="Helvetica"/>
          <w:sz w:val="15"/>
          <w:sz-cs w:val="15"/>
        </w:rPr>
        <w:t xml:space="preserve">recv</w:t>
      </w:r>
    </w:p>
    <w:p>
      <w:pPr/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(11.7)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the number of mismatches between the two vectors, and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the number of cases where</w:t>
      </w:r>
    </w:p>
    <w:p>
      <w:pPr/>
      <w:r>
        <w:rPr>
          <w:rFonts w:ascii="Times" w:hAnsi="Times" w:cs="Times"/>
          <w:sz w:val="20"/>
          <w:sz-cs w:val="20"/>
        </w:rPr>
        <w:t xml:space="preserve">no inference could be made.</w:t>
      </w:r>
    </w:p>
    <w:p>
      <w:pPr/>
      <w:r>
        <w:rPr>
          <w:rFonts w:ascii="Helvetica" w:hAnsi="Helvetica" w:cs="Helvetica"/>
          <w:sz w:val="20"/>
          <w:sz-cs w:val="20"/>
        </w:rPr>
        <w:t xml:space="preserve">9. </w:t>
      </w:r>
      <w:r>
        <w:rPr>
          <w:rFonts w:ascii="Times" w:hAnsi="Times" w:cs="Times"/>
          <w:sz w:val="20"/>
          <w:sz-cs w:val="20"/>
        </w:rPr>
        <w:t xml:space="preserve">Use the quantities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(t), β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 </w:t>
      </w:r>
      <w:r>
        <w:rPr>
          <w:rFonts w:ascii="Times" w:hAnsi="Times" w:cs="Times"/>
          <w:sz w:val="20"/>
          <w:sz-cs w:val="20"/>
        </w:rPr>
        <w:t xml:space="preserve">to assess the trust in 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. For example, compute</w:t>
      </w:r>
    </w:p>
    <w:p>
      <w:pPr/>
      <w:r>
        <w:rPr>
          <w:rFonts w:ascii="Times" w:hAnsi="Times" w:cs="Times"/>
          <w:sz w:val="20"/>
          <w:sz-cs w:val="20"/>
        </w:rPr>
        <w:t xml:space="preserve">the trust of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in node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at time </w:t>
      </w:r>
      <w:r>
        <w:rPr>
          <w:rFonts w:ascii="Helvetica" w:hAnsi="Helvetica" w:cs="Helvetica"/>
          <w:sz w:val="20"/>
          <w:sz-cs w:val="20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as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X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 α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 + β</w:t>
      </w:r>
      <w:r>
        <w:rPr>
          <w:rFonts w:ascii="Helvetica" w:hAnsi="Helvetica" w:cs="Helvetica"/>
          <w:sz w:val="15"/>
          <w:sz-cs w:val="15"/>
        </w:rPr>
        <w:t xml:space="preserve">i , j </w:t>
      </w:r>
      <w:r>
        <w:rPr>
          <w:rFonts w:ascii="Helvetica" w:hAnsi="Helvetica" w:cs="Helvetica"/>
          <w:sz w:val="20"/>
          <w:sz-cs w:val="20"/>
        </w:rPr>
        <w:t xml:space="preserve">(t)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(11.8)</w:t>
      </w:r>
    </w:p>
    <w:p>
      <w:pPr/>
      <w:r>
        <w:rPr>
          <w:rFonts w:ascii="Times" w:hAnsi="Times" w:cs="Times"/>
          <w:sz w:val="20"/>
          <w:sz-cs w:val="20"/>
        </w:rPr>
        <w:t xml:space="preserve">Simulation of the Distributed Trust Algorithm. The cloud application is a simulation of a CRN to</w:t>
      </w:r>
    </w:p>
    <w:p>
      <w:pPr/>
      <w:r>
        <w:rPr>
          <w:rFonts w:ascii="Times" w:hAnsi="Times" w:cs="Times"/>
          <w:sz w:val="20"/>
          <w:sz-cs w:val="20"/>
        </w:rPr>
        <w:t xml:space="preserve">assess the effectiveness of a particular trust assessment algorithm. Multiple instances of the algorithm</w:t>
      </w:r>
    </w:p>
    <w:p>
      <w:pPr/>
      <w:r>
        <w:rPr>
          <w:rFonts w:ascii="Times" w:hAnsi="Times" w:cs="Times"/>
          <w:sz w:val="20"/>
          <w:sz-cs w:val="20"/>
        </w:rPr>
        <w:t xml:space="preserve">run concurrently on an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cloud. The area where the secondary nodes are located is partitioned into</w:t>
      </w:r>
    </w:p>
    <w:p>
      <w:pPr/>
      <w:r>
        <w:rPr>
          <w:rFonts w:ascii="Times" w:hAnsi="Times" w:cs="Times"/>
          <w:sz w:val="20"/>
          <w:sz-cs w:val="20"/>
        </w:rPr>
        <w:t xml:space="preserve">several overlapping subareas,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11.11</w:t>
      </w:r>
      <w:r>
        <w:rPr>
          <w:rFonts w:ascii="Times" w:hAnsi="Times" w:cs="Times"/>
          <w:sz w:val="20"/>
          <w:sz-cs w:val="20"/>
        </w:rPr>
        <w:t xml:space="preserve">. The secondary nodes are identified by an</w:t>
      </w:r>
    </w:p>
    <w:p>
      <w:pPr/>
      <w:r>
        <w:rPr>
          <w:rFonts w:ascii="Times" w:hAnsi="Times" w:cs="Times"/>
          <w:sz w:val="20"/>
          <w:sz-cs w:val="20"/>
        </w:rPr>
        <w:t xml:space="preserve">instance Id, </w:t>
      </w:r>
      <w:r>
        <w:rPr>
          <w:rFonts w:ascii="Helvetica" w:hAnsi="Helvetica" w:cs="Helvetica"/>
          <w:sz w:val="20"/>
          <w:sz-cs w:val="20"/>
        </w:rPr>
        <w:t xml:space="preserve">iId</w:t>
      </w:r>
      <w:r>
        <w:rPr>
          <w:rFonts w:ascii="Times" w:hAnsi="Times" w:cs="Times"/>
          <w:sz w:val="20"/>
          <w:sz-cs w:val="20"/>
        </w:rPr>
        <w:t xml:space="preserve">, as well as a global Id, </w:t>
      </w:r>
      <w:r>
        <w:rPr>
          <w:rFonts w:ascii="Helvetica" w:hAnsi="Helvetica" w:cs="Helvetica"/>
          <w:sz w:val="20"/>
          <w:sz-cs w:val="20"/>
        </w:rPr>
        <w:t xml:space="preserve">gId</w:t>
      </w:r>
      <w:r>
        <w:rPr>
          <w:rFonts w:ascii="Times" w:hAnsi="Times" w:cs="Times"/>
          <w:sz w:val="20"/>
          <w:sz-cs w:val="20"/>
        </w:rPr>
        <w:t xml:space="preserve">. The simulation assumes that the primary nodes cover the</w:t>
      </w:r>
    </w:p>
    <w:p>
      <w:pPr/>
      <w:r>
        <w:rPr>
          <w:rFonts w:ascii="Times" w:hAnsi="Times" w:cs="Times"/>
          <w:sz w:val="20"/>
          <w:sz-cs w:val="20"/>
        </w:rPr>
        <w:t xml:space="preserve">entire area; thus, their position is immaterial.</w:t>
      </w:r>
    </w:p>
    <w:p>
      <w:pPr/>
      <w:r>
        <w:rPr>
          <w:rFonts w:ascii="Times" w:hAnsi="Times" w:cs="Times"/>
          <w:sz w:val="20"/>
          <w:sz-cs w:val="20"/>
        </w:rPr>
        <w:t xml:space="preserve">The simulation involves a controller and several cloud instances. In its initial implementation, the</w:t>
      </w:r>
    </w:p>
    <w:p>
      <w:pPr/>
      <w:r>
        <w:rPr>
          <w:rFonts w:ascii="Times" w:hAnsi="Times" w:cs="Times"/>
          <w:sz w:val="20"/>
          <w:sz-cs w:val="20"/>
        </w:rPr>
        <w:t xml:space="preserve">controller runs on a local system under </w:t>
      </w:r>
      <w:r>
        <w:rPr>
          <w:rFonts w:ascii="Helvetica" w:hAnsi="Helvetica" w:cs="Helvetica"/>
          <w:sz w:val="20"/>
          <w:sz-cs w:val="20"/>
        </w:rPr>
        <w:t xml:space="preserve">Linux Ubuntu </w:t>
      </w:r>
      <w:r>
        <w:rPr>
          <w:rFonts w:ascii="Times" w:hAnsi="Times" w:cs="Times"/>
          <w:sz w:val="20"/>
          <w:sz-cs w:val="20"/>
        </w:rPr>
        <w:t xml:space="preserve">10.04 LTS. The controller supplies the data, the</w:t>
      </w:r>
    </w:p>
    <w:p>
      <w:pPr/>
      <w:r>
        <w:rPr>
          <w:rFonts w:ascii="Times" w:hAnsi="Times" w:cs="Times"/>
          <w:sz w:val="20"/>
          <w:sz-cs w:val="20"/>
        </w:rPr>
        <w:t xml:space="preserve">trust program, and the scripts to the cloud instances; the cloud instances run under the Basic 32-bit </w:t>
      </w:r>
      <w:r>
        <w:rPr>
          <w:rFonts w:ascii="Helvetica" w:hAnsi="Helvetica" w:cs="Helvetica"/>
          <w:sz w:val="20"/>
          <w:sz-cs w:val="20"/>
        </w:rPr>
        <w:t xml:space="preserve">Linux</w:t>
      </w:r>
    </w:p>
    <w:p>
      <w:pPr/>
      <w:r>
        <w:rPr>
          <w:rFonts w:ascii="Times" w:hAnsi="Times" w:cs="Times"/>
          <w:sz w:val="20"/>
          <w:sz-cs w:val="20"/>
        </w:rPr>
        <w:t xml:space="preserve">image on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, the so-called </w:t>
      </w:r>
      <w:r>
        <w:rPr>
          <w:rFonts w:ascii="Courier" w:hAnsi="Courier" w:cs="Courier"/>
          <w:sz w:val="20"/>
          <w:sz-cs w:val="20"/>
        </w:rPr>
        <w:t xml:space="preserve">t1.micro</w:t>
      </w:r>
      <w:r>
        <w:rPr>
          <w:rFonts w:ascii="Times" w:hAnsi="Times" w:cs="Times"/>
          <w:sz w:val="20"/>
          <w:sz-cs w:val="20"/>
        </w:rPr>
        <w:t xml:space="preserve">. The instances run the actual trust program and compute the</w:t>
      </w:r>
    </w:p>
    <w:p>
      <w:pPr/>
      <w:r>
        <w:rPr>
          <w:rFonts w:ascii="Times" w:hAnsi="Times" w:cs="Times"/>
          <w:sz w:val="20"/>
          <w:sz-cs w:val="20"/>
        </w:rPr>
        <w:t xml:space="preserve">instantaneous trust inferred by a neighbor; the results are then processed by an </w:t>
      </w:r>
      <w:r>
        <w:rPr>
          <w:rFonts w:ascii="Helvetica" w:hAnsi="Helvetica" w:cs="Helvetica"/>
          <w:sz w:val="20"/>
          <w:sz-cs w:val="20"/>
        </w:rPr>
        <w:t xml:space="preserve">awk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script to compute</w:t>
      </w:r>
    </w:p>
    <w:p>
      <w:pPr/>
      <w:r>
        <w:rPr>
          <w:rFonts w:ascii="Times" w:hAnsi="Times" w:cs="Times"/>
          <w:sz w:val="20"/>
          <w:sz-cs w:val="20"/>
        </w:rPr>
        <w:t xml:space="preserve">the average trust associated with a node as seen by all its neighbors. On the next version of the application</w:t>
      </w:r>
    </w:p>
    <w:p>
      <w:pPr/>
      <w:r>
        <w:rPr>
          <w:rFonts w:ascii="Times" w:hAnsi="Times" w:cs="Times"/>
          <w:sz w:val="20"/>
          <w:sz-cs w:val="20"/>
        </w:rPr>
        <w:t xml:space="preserve">the data is stored on the cloud using the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service, and the controller also runs on the cloud.</w:t>
      </w:r>
    </w:p>
    <w:p>
      <w:pPr/>
      <w:r>
        <w:rPr>
          <w:rFonts w:ascii="Times" w:hAnsi="Times" w:cs="Times"/>
          <w:sz w:val="20"/>
          <w:sz-cs w:val="20"/>
        </w:rPr>
        <w:t xml:space="preserve">In the simulation discussed here, the nodes with</w:t>
      </w:r>
    </w:p>
    <w:p>
      <w:pPr/>
      <w:r>
        <w:rPr>
          <w:rFonts w:ascii="Helvetica" w:hAnsi="Helvetica" w:cs="Helvetica"/>
          <w:sz w:val="20"/>
          <w:sz-cs w:val="20"/>
        </w:rPr>
        <w:t xml:space="preserve">gId = {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16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17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32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38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39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43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45</w:t>
      </w:r>
      <w:r>
        <w:rPr>
          <w:rFonts w:ascii="Helvetica" w:hAnsi="Helvetica" w:cs="Helvetica"/>
          <w:sz w:val="20"/>
          <w:sz-cs w:val="20"/>
        </w:rPr>
        <w:t xml:space="preserve">} </w:t>
      </w:r>
      <w:r>
        <w:rPr>
          <w:rFonts w:ascii="Times" w:hAnsi="Times" w:cs="Times"/>
          <w:sz w:val="20"/>
          <w:sz-cs w:val="20"/>
        </w:rPr>
        <w:t xml:space="preserve">(11.9)</w:t>
      </w:r>
    </w:p>
    <w:p>
      <w:pPr/>
      <w:r>
        <w:rPr>
          <w:rFonts w:ascii="Times" w:hAnsi="Times" w:cs="Times"/>
          <w:sz w:val="20"/>
          <w:sz-cs w:val="20"/>
        </w:rPr>
        <w:t xml:space="preserve">were programmed to be dishonest. The results show that the nodes programmed to act maliciously</w:t>
      </w:r>
    </w:p>
    <w:p>
      <w:pPr/>
      <w:r>
        <w:rPr>
          <w:rFonts w:ascii="Times" w:hAnsi="Times" w:cs="Times"/>
          <w:sz w:val="20"/>
          <w:sz-cs w:val="20"/>
        </w:rPr>
        <w:t xml:space="preserve">have a trust value lower than that of the honest nodes; their trust value is always lower than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6 and,</w:t>
      </w:r>
    </w:p>
    <w:p>
      <w:pPr/>
      <w:r>
        <w:rPr>
          <w:rFonts w:ascii="Times" w:hAnsi="Times" w:cs="Times"/>
          <w:sz w:val="20"/>
          <w:sz-cs w:val="20"/>
        </w:rPr>
        <w:t xml:space="preserve">in many instances, lower than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(see Figure </w:t>
      </w:r>
      <w:r>
        <w:rPr>
          <w:rFonts w:ascii="Times" w:hAnsi="Times" w:cs="Times"/>
          <w:sz w:val="20"/>
          <w:sz-cs w:val="20"/>
          <w:color w:val="000066"/>
        </w:rPr>
        <w:t xml:space="preserve">11.12</w:t>
      </w:r>
      <w:r>
        <w:rPr>
          <w:rFonts w:ascii="Times" w:hAnsi="Times" w:cs="Times"/>
          <w:sz w:val="20"/>
          <w:sz-cs w:val="20"/>
        </w:rPr>
        <w:t xml:space="preserve">). We also observe that the node density affects the</w:t>
      </w:r>
    </w:p>
    <w:p>
      <w:pPr/>
      <w:r>
        <w:rPr>
          <w:rFonts w:ascii="Times" w:hAnsi="Times" w:cs="Times"/>
          <w:sz w:val="20"/>
          <w:sz-cs w:val="20"/>
        </w:rPr>
        <w:t xml:space="preserve">accuracy of the algorithm; the algorithm predicts more accurately the trust in densely populated areas.</w:t>
      </w:r>
    </w:p>
    <w:p>
      <w:pPr/>
      <w:r>
        <w:rPr>
          <w:rFonts w:ascii="Times" w:hAnsi="Times" w:cs="Times"/>
          <w:sz w:val="20"/>
          <w:sz-cs w:val="20"/>
        </w:rPr>
        <w:t xml:space="preserve">As expected, nodes with no neighbors are unable to compute the trust.</w:t>
      </w:r>
    </w:p>
    <w:p>
      <w:pPr/>
      <w:r>
        <w:rPr>
          <w:rFonts w:ascii="Times" w:hAnsi="Times" w:cs="Times"/>
          <w:sz w:val="20"/>
          <w:sz-cs w:val="20"/>
        </w:rPr>
        <w:t xml:space="preserve">In practice the node density is likely to be nonuniform, high in a crowded area such as a shopping mall,</w:t>
      </w:r>
    </w:p>
    <w:p>
      <w:pPr/>
      <w:r>
        <w:rPr>
          <w:rFonts w:ascii="Times" w:hAnsi="Times" w:cs="Times"/>
          <w:sz w:val="20"/>
          <w:sz-cs w:val="20"/>
        </w:rPr>
        <w:t xml:space="preserve">and considerably lower in surrounding areas. This indicates that when the trust is computed using the</w:t>
      </w:r>
    </w:p>
    <w:p>
      <w:pPr/>
      <w:r>
        <w:rPr>
          <w:rFonts w:ascii="Times" w:hAnsi="Times" w:cs="Times"/>
          <w:sz w:val="20"/>
          <w:sz-cs w:val="20"/>
        </w:rPr>
        <w:t xml:space="preserve">information provided by all secondary nodes, we can expect higher accuracy of the trust determination</w:t>
      </w:r>
    </w:p>
    <w:p>
      <w:pPr/>
      <w:r>
        <w:rPr>
          <w:rFonts w:ascii="Times" w:hAnsi="Times" w:cs="Times"/>
          <w:sz w:val="20"/>
          <w:sz-cs w:val="20"/>
        </w:rPr>
        <w:t xml:space="preserve">in higher density areas.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