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Software licensing for cloud computing is an enduring problem without a universally accepted solution</w:t>
      </w:r>
    </w:p>
    <w:p>
      <w:pPr/>
      <w:r>
        <w:rPr>
          <w:rFonts w:ascii="Times" w:hAnsi="Times" w:cs="Times"/>
          <w:sz w:val="20"/>
          <w:sz-cs w:val="20"/>
        </w:rPr>
        <w:t xml:space="preserve">at this time. The license management technology is based on the old model of computing centers with</w:t>
      </w:r>
    </w:p>
    <w:p>
      <w:pPr/>
      <w:r>
        <w:rPr>
          <w:rFonts w:ascii="Times" w:hAnsi="Times" w:cs="Times"/>
          <w:sz w:val="20"/>
          <w:sz-cs w:val="20"/>
        </w:rPr>
        <w:t xml:space="preserve">licenses given on the basis of named users or as site licenses. This licensing technology, developed for</w:t>
      </w:r>
    </w:p>
    <w:p>
      <w:pPr/>
      <w:r>
        <w:rPr>
          <w:rFonts w:ascii="Times" w:hAnsi="Times" w:cs="Times"/>
          <w:sz w:val="20"/>
          <w:sz-cs w:val="20"/>
        </w:rPr>
        <w:t xml:space="preserve">a centrally managed environment, cannot accommodate the distributed service infrastructure of cloud</w:t>
      </w:r>
    </w:p>
    <w:p>
      <w:pPr/>
      <w:r>
        <w:rPr>
          <w:rFonts w:ascii="Times" w:hAnsi="Times" w:cs="Times"/>
          <w:sz w:val="20"/>
          <w:sz-cs w:val="20"/>
        </w:rPr>
        <w:t xml:space="preserve">computing or of grid computing.</w:t>
      </w:r>
    </w:p>
    <w:p>
      <w:pPr/>
      <w:r>
        <w:rPr>
          <w:rFonts w:ascii="Times" w:hAnsi="Times" w:cs="Times"/>
          <w:sz w:val="20"/>
          <w:sz-cs w:val="20"/>
        </w:rPr>
        <w:t xml:space="preserve">Only very recently IBM reached an agreement allowing some of its software products to be used on</w:t>
      </w:r>
    </w:p>
    <w:p>
      <w:pPr/>
      <w:r>
        <w:rPr>
          <w:rFonts w:ascii="Helvetica" w:hAnsi="Helvetica" w:cs="Helvetica"/>
          <w:sz w:val="20"/>
          <w:sz-cs w:val="20"/>
        </w:rPr>
        <w:t xml:space="preserve">EC2</w:t>
      </w:r>
      <w:r>
        <w:rPr>
          <w:rFonts w:ascii="Times" w:hAnsi="Times" w:cs="Times"/>
          <w:sz w:val="20"/>
          <w:sz-cs w:val="20"/>
        </w:rPr>
        <w:t xml:space="preserve">. Furthermore,MathWorks developed a businessmodel for the use ofMATLABin grid environments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63</w:t>
      </w:r>
      <w:r>
        <w:rPr>
          <w:rFonts w:ascii="Times" w:hAnsi="Times" w:cs="Times"/>
          <w:sz w:val="20"/>
          <w:sz-cs w:val="20"/>
        </w:rPr>
        <w:t xml:space="preserve">]. The </w:t>
      </w:r>
      <w:r>
        <w:rPr>
          <w:rFonts w:ascii="Helvetica" w:hAnsi="Helvetica" w:cs="Helvetica"/>
          <w:sz w:val="20"/>
          <w:sz-cs w:val="20"/>
        </w:rPr>
        <w:t xml:space="preserve">Software-as-a-Service (SaaS) </w:t>
      </w:r>
      <w:r>
        <w:rPr>
          <w:rFonts w:ascii="Times" w:hAnsi="Times" w:cs="Times"/>
          <w:sz w:val="20"/>
          <w:sz-cs w:val="20"/>
        </w:rPr>
        <w:t xml:space="preserve">deployment model is gaining acceptance because it allows users</w:t>
      </w:r>
    </w:p>
    <w:p>
      <w:pPr/>
      <w:r>
        <w:rPr>
          <w:rFonts w:ascii="Times" w:hAnsi="Times" w:cs="Times"/>
          <w:sz w:val="20"/>
          <w:sz-cs w:val="20"/>
        </w:rPr>
        <w:t xml:space="preserve">to pay only for the services they use.</w:t>
      </w:r>
    </w:p>
    <w:p>
      <w:pPr/>
      <w:r>
        <w:rPr>
          <w:rFonts w:ascii="Times" w:hAnsi="Times" w:cs="Times"/>
          <w:sz w:val="20"/>
          <w:sz-cs w:val="20"/>
        </w:rPr>
        <w:t xml:space="preserve">There is significant pressure to change the traditional software licensing model and find nonhardware-</w:t>
      </w:r>
    </w:p>
    <w:p>
      <w:pPr/>
      <w:r>
        <w:rPr>
          <w:rFonts w:ascii="Times" w:hAnsi="Times" w:cs="Times"/>
          <w:sz w:val="20"/>
          <w:sz-cs w:val="20"/>
        </w:rPr>
        <w:t xml:space="preserve">based solutions for cloud computing. The increased negotiating power of users, coupled with</w:t>
      </w:r>
    </w:p>
    <w:p>
      <w:pPr/>
      <w:r>
        <w:rPr>
          <w:rFonts w:ascii="Times" w:hAnsi="Times" w:cs="Times"/>
          <w:sz w:val="20"/>
          <w:sz-cs w:val="20"/>
        </w:rPr>
        <w:t xml:space="preserve">the increase in software piracy, has renewed interest in alternative schemes such as those proposed by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SmartLM </w:t>
      </w:r>
      <w:r>
        <w:rPr>
          <w:rFonts w:ascii="Times" w:hAnsi="Times" w:cs="Times"/>
          <w:sz w:val="20"/>
          <w:sz-cs w:val="20"/>
        </w:rPr>
        <w:t xml:space="preserve">research project ( </w:t>
      </w:r>
      <w:r>
        <w:rPr>
          <w:rFonts w:ascii="Courier" w:hAnsi="Courier" w:cs="Courier"/>
          <w:sz w:val="17"/>
          <w:sz-cs w:val="17"/>
          <w:color w:val="000066"/>
        </w:rPr>
        <w:t xml:space="preserve">www.smartlm.eu</w:t>
      </w:r>
      <w:r>
        <w:rPr>
          <w:rFonts w:ascii="Times" w:hAnsi="Times" w:cs="Times"/>
          <w:sz w:val="20"/>
          <w:sz-cs w:val="20"/>
        </w:rPr>
        <w:t xml:space="preserve">). </w:t>
      </w:r>
      <w:r>
        <w:rPr>
          <w:rFonts w:ascii="Helvetica" w:hAnsi="Helvetica" w:cs="Helvetica"/>
          <w:sz w:val="20"/>
          <w:sz-cs w:val="20"/>
        </w:rPr>
        <w:t xml:space="preserve">SmartLM </w:t>
      </w:r>
      <w:r>
        <w:rPr>
          <w:rFonts w:ascii="Times" w:hAnsi="Times" w:cs="Times"/>
          <w:sz w:val="20"/>
          <w:sz-cs w:val="20"/>
        </w:rPr>
        <w:t xml:space="preserve">license management requires a complex</w:t>
      </w:r>
    </w:p>
    <w:p>
      <w:pPr/>
      <w:r>
        <w:rPr>
          <w:rFonts w:ascii="Times" w:hAnsi="Times" w:cs="Times"/>
          <w:sz w:val="20"/>
          <w:sz-cs w:val="20"/>
        </w:rPr>
        <w:t xml:space="preserve">software infrastructure involving SLA, negotiation protocols, authentication, and other management</w:t>
      </w:r>
    </w:p>
    <w:p>
      <w:pPr/>
      <w:r>
        <w:rPr>
          <w:rFonts w:ascii="Times" w:hAnsi="Times" w:cs="Times"/>
          <w:sz w:val="20"/>
          <w:sz-cs w:val="20"/>
        </w:rPr>
        <w:t xml:space="preserve">functions.</w:t>
      </w:r>
    </w:p>
    <w:p>
      <w:pPr/>
      <w:r>
        <w:rPr>
          <w:rFonts w:ascii="Times" w:hAnsi="Times" w:cs="Times"/>
          <w:sz w:val="20"/>
          <w:sz-cs w:val="20"/>
        </w:rPr>
        <w:t xml:space="preserve">A commercial product based on the ideas developed by this research project is </w:t>
      </w:r>
      <w:r>
        <w:rPr>
          <w:rFonts w:ascii="Helvetica" w:hAnsi="Helvetica" w:cs="Helvetica"/>
          <w:sz w:val="20"/>
          <w:sz-cs w:val="20"/>
        </w:rPr>
        <w:t xml:space="preserve">elasticLM</w:t>
      </w:r>
      <w:r>
        <w:rPr>
          <w:rFonts w:ascii="Times" w:hAnsi="Times" w:cs="Times"/>
          <w:sz w:val="20"/>
          <w:sz-cs w:val="20"/>
        </w:rPr>
        <w:t xml:space="preserve">, which</w:t>
      </w:r>
    </w:p>
    <w:p>
      <w:pPr/>
      <w:r>
        <w:rPr>
          <w:rFonts w:ascii="Times" w:hAnsi="Times" w:cs="Times"/>
          <w:sz w:val="20"/>
          <w:sz-cs w:val="20"/>
        </w:rPr>
        <w:t xml:space="preserve">provides license and billing for Web-based services [</w:t>
      </w:r>
      <w:r>
        <w:rPr>
          <w:rFonts w:ascii="Times" w:hAnsi="Times" w:cs="Times"/>
          <w:sz w:val="20"/>
          <w:sz-cs w:val="20"/>
          <w:color w:val="000066"/>
        </w:rPr>
        <w:t xml:space="preserve">63</w:t>
      </w:r>
      <w:r>
        <w:rPr>
          <w:rFonts w:ascii="Times" w:hAnsi="Times" w:cs="Times"/>
          <w:sz w:val="20"/>
          <w:sz-cs w:val="20"/>
        </w:rPr>
        <w:t xml:space="preserve">]. The architecture of the </w:t>
      </w:r>
      <w:r>
        <w:rPr>
          <w:rFonts w:ascii="Helvetica" w:hAnsi="Helvetica" w:cs="Helvetica"/>
          <w:sz w:val="20"/>
          <w:sz-cs w:val="20"/>
        </w:rPr>
        <w:t xml:space="preserve">elasticLM </w:t>
      </w:r>
      <w:r>
        <w:rPr>
          <w:rFonts w:ascii="Times" w:hAnsi="Times" w:cs="Times"/>
          <w:sz w:val="20"/>
          <w:sz-cs w:val="20"/>
        </w:rPr>
        <w:t xml:space="preserve">license</w:t>
      </w:r>
    </w:p>
    <w:p>
      <w:pPr/>
      <w:r>
        <w:rPr>
          <w:rFonts w:ascii="Times" w:hAnsi="Times" w:cs="Times"/>
          <w:sz w:val="20"/>
          <w:sz-cs w:val="20"/>
        </w:rPr>
        <w:t xml:space="preserve">service has several layers: coallocation, authentication, administration, management, business, and</w:t>
      </w:r>
    </w:p>
    <w:p>
      <w:pPr/>
      <w:r>
        <w:rPr>
          <w:rFonts w:ascii="Times" w:hAnsi="Times" w:cs="Times"/>
          <w:sz w:val="20"/>
          <w:sz-cs w:val="20"/>
        </w:rPr>
        <w:t xml:space="preserve">persistency. The authentication layer authenticates communication between the license service and the</w:t>
      </w:r>
    </w:p>
    <w:p>
      <w:pPr/>
      <w:r>
        <w:rPr>
          <w:rFonts w:ascii="Times" w:hAnsi="Times" w:cs="Times"/>
          <w:sz w:val="20"/>
          <w:sz-cs w:val="20"/>
        </w:rPr>
        <w:t xml:space="preserve">billing service as well as the individual applications; the persistence layer stores the usage records. The</w:t>
      </w:r>
    </w:p>
    <w:p>
      <w:pPr/>
      <w:r>
        <w:rPr>
          <w:rFonts w:ascii="Times" w:hAnsi="Times" w:cs="Times"/>
          <w:sz w:val="20"/>
          <w:sz-cs w:val="20"/>
        </w:rPr>
        <w:t xml:space="preserve">main responsibility of the business layer is to provide the licensing service with the licenses prices, and</w:t>
      </w:r>
    </w:p>
    <w:p>
      <w:pPr/>
      <w:r>
        <w:rPr>
          <w:rFonts w:ascii="Times" w:hAnsi="Times" w:cs="Times"/>
          <w:sz w:val="20"/>
          <w:sz-cs w:val="20"/>
        </w:rPr>
        <w:t xml:space="preserve">the management coordinates various components of the automated billing service.</w:t>
      </w:r>
    </w:p>
    <w:p>
      <w:pPr/>
      <w:r>
        <w:rPr>
          <w:rFonts w:ascii="Times" w:hAnsi="Times" w:cs="Times"/>
          <w:sz w:val="20"/>
          <w:sz-cs w:val="20"/>
        </w:rPr>
        <w:t xml:space="preserve">When a user requests a license from the license service, the terms of the license usage are negotiated</w:t>
      </w:r>
    </w:p>
    <w:p>
      <w:pPr/>
      <w:r>
        <w:rPr>
          <w:rFonts w:ascii="Times" w:hAnsi="Times" w:cs="Times"/>
          <w:sz w:val="20"/>
          <w:sz-cs w:val="20"/>
        </w:rPr>
        <w:t xml:space="preserve">and they are part of an SLA document. The negotiation is based on application-specific templates and</w:t>
      </w:r>
    </w:p>
    <w:p>
      <w:pPr/>
      <w:r>
        <w:rPr>
          <w:rFonts w:ascii="Times" w:hAnsi="Times" w:cs="Times"/>
          <w:sz w:val="20"/>
          <w:sz-cs w:val="20"/>
        </w:rPr>
        <w:t xml:space="preserve">the license cost becomes part of the SLA. The SLA describes all aspects of resource usage, including</w:t>
      </w:r>
    </w:p>
    <w:p>
      <w:pPr/>
      <w:r>
        <w:rPr>
          <w:rFonts w:ascii="Times" w:hAnsi="Times" w:cs="Times"/>
          <w:sz w:val="20"/>
          <w:sz-cs w:val="20"/>
        </w:rPr>
        <w:t xml:space="preserve">the ID of application, duration, number of processors, and guarantees, such as the maximum cost and</w:t>
      </w:r>
    </w:p>
    <w:p>
      <w:pPr/>
      <w:r>
        <w:rPr>
          <w:rFonts w:ascii="Times" w:hAnsi="Times" w:cs="Times"/>
          <w:sz w:val="20"/>
          <w:sz-cs w:val="20"/>
        </w:rPr>
        <w:t xml:space="preserve">deadlines. When multiple negotiation steps are necessary, the WS-Agreement Negotiation protocol</w:t>
      </w:r>
    </w:p>
    <w:p>
      <w:pPr/>
      <w:r>
        <w:rPr>
          <w:rFonts w:ascii="Times" w:hAnsi="Times" w:cs="Times"/>
          <w:sz w:val="20"/>
          <w:sz-cs w:val="20"/>
        </w:rPr>
        <w:t xml:space="preserve">is used.</w:t>
      </w:r>
    </w:p>
    <w:p>
      <w:pPr/>
      <w:r>
        <w:rPr>
          <w:rFonts w:ascii="Times" w:hAnsi="Times" w:cs="Times"/>
          <w:sz w:val="20"/>
          <w:sz-cs w:val="20"/>
        </w:rPr>
        <w:t xml:space="preserve">To understand the complexity of the issues related to software licensing, we point out some of</w:t>
      </w:r>
    </w:p>
    <w:p>
      <w:pPr/>
      <w:r>
        <w:rPr>
          <w:rFonts w:ascii="Times" w:hAnsi="Times" w:cs="Times"/>
          <w:sz w:val="20"/>
          <w:sz-cs w:val="20"/>
        </w:rPr>
        <w:t xml:space="preserve">the difficulties related to authorization. To verify the authorization to use a license, an application</w:t>
      </w:r>
    </w:p>
    <w:p>
      <w:pPr/>
      <w:r>
        <w:rPr>
          <w:rFonts w:ascii="Times" w:hAnsi="Times" w:cs="Times"/>
          <w:sz w:val="20"/>
          <w:sz-cs w:val="20"/>
        </w:rPr>
        <w:t xml:space="preserve">must have the certificate of an authority. This certificate must be available locally to the application</w:t>
      </w:r>
    </w:p>
    <w:p>
      <w:pPr/>
      <w:r>
        <w:rPr>
          <w:rFonts w:ascii="Times" w:hAnsi="Times" w:cs="Times"/>
          <w:sz w:val="20"/>
          <w:sz-cs w:val="20"/>
        </w:rPr>
        <w:t xml:space="preserve">because the application may be executed in an environment with restricted network access. This</w:t>
      </w:r>
    </w:p>
    <w:p>
      <w:pPr/>
      <w:r>
        <w:rPr>
          <w:rFonts w:ascii="Times" w:hAnsi="Times" w:cs="Times"/>
          <w:sz w:val="20"/>
          <w:sz-cs w:val="20"/>
        </w:rPr>
        <w:t xml:space="preserve">opens up the possibility for an administrator to hijack the license mechanism by exchanging the local</w:t>
      </w:r>
    </w:p>
    <w:p>
      <w:pPr/>
      <w:r>
        <w:rPr>
          <w:rFonts w:ascii="Times" w:hAnsi="Times" w:cs="Times"/>
          <w:sz w:val="20"/>
          <w:sz-cs w:val="20"/>
        </w:rPr>
        <w:t xml:space="preserve">certificate.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