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service-level agreement (SLA) </w:t>
      </w:r>
      <w:r>
        <w:rPr>
          <w:rFonts w:ascii="Times" w:hAnsi="Times" w:cs="Times"/>
          <w:sz w:val="20"/>
          <w:sz-cs w:val="20"/>
        </w:rPr>
        <w:t xml:space="preserve">is a negotiated contract between two parties, the customer and the</w:t>
      </w:r>
    </w:p>
    <w:p>
      <w:pPr/>
      <w:r>
        <w:rPr>
          <w:rFonts w:ascii="Times" w:hAnsi="Times" w:cs="Times"/>
          <w:sz w:val="20"/>
          <w:sz-cs w:val="20"/>
        </w:rPr>
        <w:t xml:space="preserve">service provider. The agreement can be legally binding or informal and specifies the services that</w:t>
      </w:r>
    </w:p>
    <w:p>
      <w:pPr/>
      <w:r>
        <w:rPr>
          <w:rFonts w:ascii="Times" w:hAnsi="Times" w:cs="Times"/>
          <w:sz w:val="20"/>
          <w:sz-cs w:val="20"/>
        </w:rPr>
        <w:t xml:space="preserve">the customer receive rather than how the service provider delivers the services. The objectives of the</w:t>
      </w:r>
    </w:p>
    <w:p>
      <w:pPr/>
      <w:r>
        <w:rPr>
          <w:rFonts w:ascii="Times" w:hAnsi="Times" w:cs="Times"/>
          <w:sz w:val="20"/>
          <w:sz-cs w:val="20"/>
        </w:rPr>
        <w:t xml:space="preserve">agreement are:</w:t>
      </w:r>
    </w:p>
    <w:p>
      <w:pPr/>
      <w:r>
        <w:rPr>
          <w:rFonts w:ascii="Times" w:hAnsi="Times" w:cs="Times"/>
          <w:sz w:val="20"/>
          <w:sz-cs w:val="20"/>
        </w:rPr>
        <w:t xml:space="preserve">• Identify and define customers’ needs and constraints, including the level of resources, security,</w:t>
      </w:r>
    </w:p>
    <w:p>
      <w:pPr/>
      <w:r>
        <w:rPr>
          <w:rFonts w:ascii="Times" w:hAnsi="Times" w:cs="Times"/>
          <w:sz w:val="20"/>
          <w:sz-cs w:val="20"/>
        </w:rPr>
        <w:t xml:space="preserve">timing, and quality of service.</w:t>
      </w:r>
    </w:p>
    <w:p>
      <w:pPr/>
      <w:r>
        <w:rPr>
          <w:rFonts w:ascii="Times" w:hAnsi="Times" w:cs="Times"/>
          <w:sz w:val="20"/>
          <w:sz-cs w:val="20"/>
        </w:rPr>
        <w:t xml:space="preserve">• Provide a framework for understanding. A critical aspect of this framework is a clear definition of</w:t>
      </w:r>
    </w:p>
    <w:p>
      <w:pPr/>
      <w:r>
        <w:rPr>
          <w:rFonts w:ascii="Times" w:hAnsi="Times" w:cs="Times"/>
          <w:sz w:val="20"/>
          <w:sz-cs w:val="20"/>
        </w:rPr>
        <w:t xml:space="preserve">classes of service and costs.</w:t>
      </w:r>
    </w:p>
    <w:p>
      <w:pPr/>
      <w:r>
        <w:rPr>
          <w:rFonts w:ascii="Times" w:hAnsi="Times" w:cs="Times"/>
          <w:sz w:val="20"/>
          <w:sz-cs w:val="20"/>
        </w:rPr>
        <w:t xml:space="preserve">• Simplify complex issues; for example, clarify the boundaries between the responsibilities of the</w:t>
      </w:r>
    </w:p>
    <w:p>
      <w:pPr/>
      <w:r>
        <w:rPr>
          <w:rFonts w:ascii="Times" w:hAnsi="Times" w:cs="Times"/>
          <w:sz w:val="20"/>
          <w:sz-cs w:val="20"/>
        </w:rPr>
        <w:t xml:space="preserve">clients and those of the provider of service in case of failures.</w:t>
      </w:r>
    </w:p>
    <w:p>
      <w:pPr/>
      <w:r>
        <w:rPr>
          <w:rFonts w:ascii="Times" w:hAnsi="Times" w:cs="Times"/>
          <w:sz w:val="20"/>
          <w:sz-cs w:val="20"/>
        </w:rPr>
        <w:t xml:space="preserve">• Reduce areas of conflict.</w:t>
      </w:r>
    </w:p>
    <w:p>
      <w:pPr/>
      <w:r>
        <w:rPr>
          <w:rFonts w:ascii="Times" w:hAnsi="Times" w:cs="Times"/>
          <w:sz w:val="20"/>
          <w:sz-cs w:val="20"/>
        </w:rPr>
        <w:t xml:space="preserve">• Encourage dialogue in the event of disputes.</w:t>
      </w:r>
    </w:p>
    <w:p>
      <w:pPr/>
      <w:r>
        <w:rPr>
          <w:rFonts w:ascii="Times" w:hAnsi="Times" w:cs="Times"/>
          <w:sz w:val="20"/>
          <w:sz-cs w:val="20"/>
        </w:rPr>
        <w:t xml:space="preserve">• Eliminate unrealistic expectations.</w:t>
      </w:r>
    </w:p>
    <w:p>
      <w:pPr/>
      <w:r>
        <w:rPr>
          <w:rFonts w:ascii="Times" w:hAnsi="Times" w:cs="Times"/>
          <w:sz w:val="20"/>
          <w:sz-cs w:val="20"/>
        </w:rPr>
        <w:t xml:space="preserve">An SLA records a common understanding in several areas: (i) services, (ii) priorities, (iii) responsibilities,</w:t>
      </w:r>
    </w:p>
    <w:p>
      <w:pPr/>
      <w:r>
        <w:rPr>
          <w:rFonts w:ascii="Times" w:hAnsi="Times" w:cs="Times"/>
          <w:sz w:val="20"/>
          <w:sz-cs w:val="20"/>
        </w:rPr>
        <w:t xml:space="preserve">(iv) guarantees, and (v) warranties. An agreement usually covers: services to be delivered,</w:t>
      </w:r>
    </w:p>
    <w:p>
      <w:pPr/>
      <w:r>
        <w:rPr>
          <w:rFonts w:ascii="Times" w:hAnsi="Times" w:cs="Times"/>
          <w:sz w:val="20"/>
          <w:sz-cs w:val="20"/>
        </w:rPr>
        <w:t xml:space="preserve">performance, tracking and reporting, problem management, legal compliance and resolution of disputes,</w:t>
      </w:r>
    </w:p>
    <w:p>
      <w:pPr/>
      <w:r>
        <w:rPr>
          <w:rFonts w:ascii="Times" w:hAnsi="Times" w:cs="Times"/>
          <w:sz w:val="20"/>
          <w:sz-cs w:val="20"/>
        </w:rPr>
        <w:t xml:space="preserve">customer duties and responsibilities, security, handling of confidential information, and termination.</w:t>
      </w:r>
    </w:p>
    <w:p>
      <w:pPr/>
      <w:r>
        <w:rPr>
          <w:rFonts w:ascii="Times" w:hAnsi="Times" w:cs="Times"/>
          <w:sz w:val="20"/>
          <w:sz-cs w:val="20"/>
        </w:rPr>
        <w:t xml:space="preserve">Each area of service in cloud computing should define a “target level of service” or a “minimum</w:t>
      </w:r>
    </w:p>
    <w:p>
      <w:pPr/>
      <w:r>
        <w:rPr>
          <w:rFonts w:ascii="Times" w:hAnsi="Times" w:cs="Times"/>
          <w:sz w:val="20"/>
          <w:sz-cs w:val="20"/>
        </w:rPr>
        <w:t xml:space="preserve">level of service” and specify the levels of availability, serviceability, performance, operation, or other</w:t>
      </w:r>
    </w:p>
    <w:p>
      <w:pPr/>
      <w:r>
        <w:rPr>
          <w:rFonts w:ascii="Times" w:hAnsi="Times" w:cs="Times"/>
          <w:sz w:val="20"/>
          <w:sz-cs w:val="20"/>
        </w:rPr>
        <w:t xml:space="preserve">attributes of the service, such as billing. Penaltiesmay also be specified in the case of noncompliance with</w:t>
      </w:r>
    </w:p>
    <w:p>
      <w:pPr/>
      <w:r>
        <w:rPr>
          <w:rFonts w:ascii="Times" w:hAnsi="Times" w:cs="Times"/>
          <w:sz w:val="20"/>
          <w:sz-cs w:val="20"/>
        </w:rPr>
        <w:t xml:space="preserve">the SLA. It is expected that any service-oriented architecture (SOA) will eventually include middleware</w:t>
      </w:r>
    </w:p>
    <w:p>
      <w:pPr/>
      <w:r>
        <w:rPr>
          <w:rFonts w:ascii="Times" w:hAnsi="Times" w:cs="Times"/>
          <w:sz w:val="20"/>
          <w:sz-cs w:val="20"/>
        </w:rPr>
        <w:t xml:space="preserve">supporting SLAmanagement. The </w:t>
      </w:r>
      <w:r>
        <w:rPr>
          <w:rFonts w:ascii="Helvetica" w:hAnsi="Helvetica" w:cs="Helvetica"/>
          <w:sz w:val="20"/>
          <w:sz-cs w:val="20"/>
        </w:rPr>
        <w:t xml:space="preserve">Framework 7 </w:t>
      </w:r>
      <w:r>
        <w:rPr>
          <w:rFonts w:ascii="Times" w:hAnsi="Times" w:cs="Times"/>
          <w:sz w:val="20"/>
          <w:sz-cs w:val="20"/>
        </w:rPr>
        <w:t xml:space="preserve">project supported by the European Union is researching</w:t>
      </w:r>
    </w:p>
    <w:p>
      <w:pPr/>
      <w:r>
        <w:rPr>
          <w:rFonts w:ascii="Times" w:hAnsi="Times" w:cs="Times"/>
          <w:sz w:val="20"/>
          <w:sz-cs w:val="20"/>
        </w:rPr>
        <w:t xml:space="preserve">this area (see </w:t>
      </w:r>
      <w:r>
        <w:rPr>
          <w:rFonts w:ascii="Courier" w:hAnsi="Courier" w:cs="Courier"/>
          <w:sz w:val="17"/>
          <w:sz-cs w:val="17"/>
          <w:color w:val="000066"/>
        </w:rPr>
        <w:t xml:space="preserve">http://sla-at-soi.eu/</w:t>
      </w:r>
      <w:r>
        <w:rPr>
          <w:rFonts w:ascii="Times" w:hAnsi="Times" w:cs="Times"/>
          <w:sz w:val="20"/>
          <w:sz-cs w:val="20"/>
          <w:color w:val="000066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The commonmetrics specified by an SLA are service-specific. For example, themetrics used by a </w:t>
      </w:r>
      <w:r>
        <w:rPr>
          <w:rFonts w:ascii="Helvetica" w:hAnsi="Helvetica" w:cs="Helvetica"/>
          <w:sz w:val="20"/>
          <w:sz-cs w:val="20"/>
        </w:rPr>
        <w:t xml:space="preserve">call</w:t>
      </w:r>
    </w:p>
    <w:p>
      <w:pPr/>
      <w:r>
        <w:rPr>
          <w:rFonts w:ascii="Helvetica" w:hAnsi="Helvetica" w:cs="Helvetica"/>
          <w:sz w:val="20"/>
          <w:sz-cs w:val="20"/>
        </w:rPr>
        <w:t xml:space="preserve">center </w:t>
      </w:r>
      <w:r>
        <w:rPr>
          <w:rFonts w:ascii="Times" w:hAnsi="Times" w:cs="Times"/>
          <w:sz w:val="20"/>
          <w:sz-cs w:val="20"/>
        </w:rPr>
        <w:t xml:space="preserve">usually are: (i) abandonment rate: percentage of calls abandoned while waiting to be answered;</w:t>
      </w:r>
    </w:p>
    <w:p>
      <w:pPr/>
      <w:r>
        <w:rPr>
          <w:rFonts w:ascii="Times" w:hAnsi="Times" w:cs="Times"/>
          <w:sz w:val="20"/>
          <w:sz-cs w:val="20"/>
        </w:rPr>
        <w:t xml:space="preserve">(ii) average speed to answer: average time before the service desk answers a call; (iii) time service factor:</w:t>
      </w:r>
    </w:p>
    <w:p>
      <w:pPr/>
      <w:r>
        <w:rPr>
          <w:rFonts w:ascii="Times" w:hAnsi="Times" w:cs="Times"/>
          <w:sz w:val="20"/>
          <w:sz-cs w:val="20"/>
        </w:rPr>
        <w:t xml:space="preserve">percentage of calls answered within a definite time frame; (iv) first-call resolution: percentage of incoming</w:t>
      </w:r>
    </w:p>
    <w:p>
      <w:pPr/>
      <w:r>
        <w:rPr>
          <w:rFonts w:ascii="Times" w:hAnsi="Times" w:cs="Times"/>
          <w:sz w:val="20"/>
          <w:sz-cs w:val="20"/>
        </w:rPr>
        <w:t xml:space="preserve">calls that can be resolved without a callback; and (v) turnaround time: time to complete a certain task.</w:t>
      </w:r>
    </w:p>
    <w:p>
      <w:pPr/>
      <w:r>
        <w:rPr>
          <w:rFonts w:ascii="Times" w:hAnsi="Times" w:cs="Times"/>
          <w:sz w:val="20"/>
          <w:sz-cs w:val="20"/>
        </w:rPr>
        <w:t xml:space="preserve">There are two well-differentiated phases in SLA management: the negotiation of the contract and</w:t>
      </w:r>
    </w:p>
    <w:p>
      <w:pPr/>
      <w:r>
        <w:rPr>
          <w:rFonts w:ascii="Times" w:hAnsi="Times" w:cs="Times"/>
          <w:sz w:val="20"/>
          <w:sz-cs w:val="20"/>
        </w:rPr>
        <w:t xml:space="preserve">the monitoring of its fulfillment in real time. In turn, automated negotiation has three main components:</w:t>
      </w:r>
    </w:p>
    <w:p>
      <w:pPr/>
      <w:r>
        <w:rPr>
          <w:rFonts w:ascii="Times" w:hAnsi="Times" w:cs="Times"/>
          <w:sz w:val="20"/>
          <w:sz-cs w:val="20"/>
        </w:rPr>
        <w:t xml:space="preserve">(i) the </w:t>
      </w:r>
      <w:r>
        <w:rPr>
          <w:rFonts w:ascii="Helvetica" w:hAnsi="Helvetica" w:cs="Helvetica"/>
          <w:sz w:val="20"/>
          <w:sz-cs w:val="20"/>
        </w:rPr>
        <w:t xml:space="preserve">object of negotiation</w:t>
      </w:r>
      <w:r>
        <w:rPr>
          <w:rFonts w:ascii="Times" w:hAnsi="Times" w:cs="Times"/>
          <w:sz w:val="20"/>
          <w:sz-cs w:val="20"/>
        </w:rPr>
        <w:t xml:space="preserve">, which defines the attributes and constraints under negotiation; (ii) the</w:t>
      </w:r>
    </w:p>
    <w:p>
      <w:pPr/>
      <w:r>
        <w:rPr>
          <w:rFonts w:ascii="Helvetica" w:hAnsi="Helvetica" w:cs="Helvetica"/>
          <w:sz w:val="20"/>
          <w:sz-cs w:val="20"/>
        </w:rPr>
        <w:t xml:space="preserve">negotiation protocols</w:t>
      </w:r>
      <w:r>
        <w:rPr>
          <w:rFonts w:ascii="Times" w:hAnsi="Times" w:cs="Times"/>
          <w:sz w:val="20"/>
          <w:sz-cs w:val="20"/>
        </w:rPr>
        <w:t xml:space="preserve">, which describe the interaction between negotiating parties; and (iii) the </w:t>
      </w:r>
      <w:r>
        <w:rPr>
          <w:rFonts w:ascii="Helvetica" w:hAnsi="Helvetica" w:cs="Helvetica"/>
          <w:sz w:val="20"/>
          <w:sz-cs w:val="20"/>
        </w:rPr>
        <w:t xml:space="preserve">decision</w:t>
      </w:r>
    </w:p>
    <w:p>
      <w:pPr/>
      <w:r>
        <w:rPr>
          <w:rFonts w:ascii="Helvetica" w:hAnsi="Helvetica" w:cs="Helvetica"/>
          <w:sz w:val="20"/>
          <w:sz-cs w:val="20"/>
        </w:rPr>
        <w:t xml:space="preserve">models </w:t>
      </w:r>
      <w:r>
        <w:rPr>
          <w:rFonts w:ascii="Times" w:hAnsi="Times" w:cs="Times"/>
          <w:sz w:val="20"/>
          <w:sz-cs w:val="20"/>
        </w:rPr>
        <w:t xml:space="preserve">responsible for processing proposals and generating counterproposals.</w:t>
      </w:r>
    </w:p>
    <w:p>
      <w:pPr/>
      <w:r>
        <w:rPr>
          <w:rFonts w:ascii="Times" w:hAnsi="Times" w:cs="Times"/>
          <w:sz w:val="20"/>
          <w:sz-cs w:val="20"/>
        </w:rPr>
        <w:t xml:space="preserve">The concept of compliance in cloud computing is discussed in [</w:t>
      </w:r>
      <w:r>
        <w:rPr>
          <w:rFonts w:ascii="Times" w:hAnsi="Times" w:cs="Times"/>
          <w:sz w:val="20"/>
          <w:sz-cs w:val="20"/>
          <w:color w:val="000066"/>
        </w:rPr>
        <w:t xml:space="preserve">55</w:t>
      </w:r>
      <w:r>
        <w:rPr>
          <w:rFonts w:ascii="Times" w:hAnsi="Times" w:cs="Times"/>
          <w:sz w:val="20"/>
          <w:sz-cs w:val="20"/>
        </w:rPr>
        <w:t xml:space="preserve">] in the context of the user’s</w:t>
      </w:r>
    </w:p>
    <w:p>
      <w:pPr/>
      <w:r>
        <w:rPr>
          <w:rFonts w:ascii="Times" w:hAnsi="Times" w:cs="Times"/>
          <w:sz w:val="20"/>
          <w:sz-cs w:val="20"/>
        </w:rPr>
        <w:t xml:space="preserve">ability to select a provider of service. The selection process is subject to customizable compliance with</w:t>
      </w:r>
    </w:p>
    <w:p>
      <w:pPr/>
      <w:r>
        <w:rPr>
          <w:rFonts w:ascii="Times" w:hAnsi="Times" w:cs="Times"/>
          <w:sz w:val="20"/>
          <w:sz-cs w:val="20"/>
        </w:rPr>
        <w:t xml:space="preserve">user requirements, such as security, deadlines, and costs. The authors propose an infrastructure called</w:t>
      </w:r>
    </w:p>
    <w:p>
      <w:pPr/>
      <w:r>
        <w:rPr>
          <w:rFonts w:ascii="Helvetica" w:hAnsi="Helvetica" w:cs="Helvetica"/>
          <w:sz w:val="20"/>
          <w:sz-cs w:val="20"/>
        </w:rPr>
        <w:t xml:space="preserve">Compliant Cloud Computing </w:t>
      </w:r>
      <w:r>
        <w:rPr>
          <w:rFonts w:ascii="Times" w:hAnsi="Times" w:cs="Times"/>
          <w:sz w:val="20"/>
          <w:sz-cs w:val="20"/>
        </w:rPr>
        <w:t xml:space="preserve">(C3) consisting of: (i) a language to express user requirements and the</w:t>
      </w:r>
    </w:p>
    <w:p>
      <w:pPr/>
      <w:r>
        <w:rPr>
          <w:rFonts w:ascii="Times" w:hAnsi="Times" w:cs="Times"/>
          <w:sz w:val="20"/>
          <w:sz-cs w:val="20"/>
        </w:rPr>
        <w:t xml:space="preserve">compliance level agreements (CLAs) and (ii) the middleware for managing CLAs.</w:t>
      </w:r>
    </w:p>
    <w:p>
      <w:pPr/>
      <w:r>
        <w:rPr>
          <w:rFonts w:ascii="Times" w:hAnsi="Times" w:cs="Times"/>
          <w:sz w:val="20"/>
          <w:sz-cs w:val="20"/>
        </w:rPr>
        <w:t xml:space="preserve">The Web Service Agreement Specification (WS-Agreement) [</w:t>
      </w:r>
      <w:r>
        <w:rPr>
          <w:rFonts w:ascii="Times" w:hAnsi="Times" w:cs="Times"/>
          <w:sz w:val="20"/>
          <w:sz-cs w:val="20"/>
          <w:color w:val="000066"/>
        </w:rPr>
        <w:t xml:space="preserve">20</w:t>
      </w:r>
      <w:r>
        <w:rPr>
          <w:rFonts w:ascii="Times" w:hAnsi="Times" w:cs="Times"/>
          <w:sz w:val="20"/>
          <w:sz-cs w:val="20"/>
        </w:rPr>
        <w:t xml:space="preserve">] uses an XML-based language</w:t>
      </w:r>
    </w:p>
    <w:p>
      <w:pPr/>
      <w:r>
        <w:rPr>
          <w:rFonts w:ascii="Times" w:hAnsi="Times" w:cs="Times"/>
          <w:sz w:val="20"/>
          <w:sz-cs w:val="20"/>
        </w:rPr>
        <w:t xml:space="preserve">to define a protocol for creating an agreement using a predefined template with some customizable</w:t>
      </w:r>
    </w:p>
    <w:p>
      <w:pPr/>
      <w:r>
        <w:rPr>
          <w:rFonts w:ascii="Times" w:hAnsi="Times" w:cs="Times"/>
          <w:sz w:val="20"/>
          <w:sz-cs w:val="20"/>
        </w:rPr>
        <w:t xml:space="preserve">aspects. It only supports one-round negotiation without counterproposals. A policy-based framework</w:t>
      </w:r>
    </w:p>
    <w:p>
      <w:pPr/>
      <w:r>
        <w:rPr>
          <w:rFonts w:ascii="Times" w:hAnsi="Times" w:cs="Times"/>
          <w:sz w:val="20"/>
          <w:sz-cs w:val="20"/>
        </w:rPr>
        <w:t xml:space="preserve">for automated SLA negotiation for a virtual computing environment is described in [</w:t>
      </w:r>
      <w:r>
        <w:rPr>
          <w:rFonts w:ascii="Times" w:hAnsi="Times" w:cs="Times"/>
          <w:sz w:val="20"/>
          <w:sz-cs w:val="20"/>
          <w:color w:val="000066"/>
        </w:rPr>
        <w:t xml:space="preserve">379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