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There is a vast literature dedicated to Divisible Load Theory (DLT), including hundreds of papers (see</w:t>
      </w:r>
    </w:p>
    <w:p>
      <w:pPr/>
      <w:r>
        <w:rPr>
          <w:rFonts w:ascii="Courier" w:hAnsi="Courier" w:cs="Courier"/>
          <w:sz w:val="20"/>
          <w:sz-cs w:val="20"/>
          <w:color w:val="000066"/>
        </w:rPr>
        <w:t xml:space="preserve">www.ece.sunysb.edu/</w:t>
      </w:r>
      <w:r>
        <w:rPr>
          <w:rFonts w:ascii="Helvetica" w:hAnsi="Helvetica" w:cs="Helvetica"/>
          <w:sz w:val="20"/>
          <w:sz-cs w:val="20"/>
          <w:color w:val="000066"/>
        </w:rPr>
        <w:t xml:space="preserve">∼</w:t>
      </w:r>
      <w:r>
        <w:rPr>
          <w:rFonts w:ascii="Courier" w:hAnsi="Courier" w:cs="Courier"/>
          <w:sz w:val="20"/>
          <w:sz-cs w:val="20"/>
          <w:color w:val="000066"/>
        </w:rPr>
        <w:t xml:space="preserve">tom/dlt.html</w:t>
      </w:r>
      <w:r>
        <w:rPr>
          <w:rFonts w:ascii="Times" w:hAnsi="Times" w:cs="Times"/>
          <w:sz w:val="20"/>
          <w:sz-cs w:val="20"/>
        </w:rPr>
        <w:t xml:space="preserve">). </w:t>
      </w:r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is discussed in [</w:t>
      </w:r>
      <w:r>
        <w:rPr>
          <w:rFonts w:ascii="Times" w:hAnsi="Times" w:cs="Times"/>
          <w:sz w:val="20"/>
          <w:sz-cs w:val="20"/>
          <w:color w:val="000066"/>
        </w:rPr>
        <w:t xml:space="preserve">100</w:t>
      </w:r>
      <w:r>
        <w:rPr>
          <w:rFonts w:ascii="Times" w:hAnsi="Times" w:cs="Times"/>
          <w:sz w:val="20"/>
          <w:sz-cs w:val="20"/>
        </w:rPr>
        <w:t xml:space="preserve">]. The </w:t>
      </w:r>
      <w:r>
        <w:rPr>
          <w:rFonts w:ascii="Helvetica" w:hAnsi="Helvetica" w:cs="Helvetica"/>
          <w:sz w:val="20"/>
          <w:sz-cs w:val="20"/>
        </w:rPr>
        <w:t xml:space="preserve">GrepTheWeb</w:t>
      </w:r>
    </w:p>
    <w:p>
      <w:pPr/>
      <w:r>
        <w:rPr>
          <w:rFonts w:ascii="Times" w:hAnsi="Times" w:cs="Times"/>
          <w:sz w:val="20"/>
          <w:sz-cs w:val="20"/>
        </w:rPr>
        <w:t xml:space="preserve">application is analyzed in [</w:t>
      </w:r>
      <w:r>
        <w:rPr>
          <w:rFonts w:ascii="Times" w:hAnsi="Times" w:cs="Times"/>
          <w:sz w:val="20"/>
          <w:sz-cs w:val="20"/>
          <w:color w:val="000066"/>
        </w:rPr>
        <w:t xml:space="preserve">360</w:t>
      </w:r>
      <w:r>
        <w:rPr>
          <w:rFonts w:ascii="Times" w:hAnsi="Times" w:cs="Times"/>
          <w:sz w:val="20"/>
          <w:sz-cs w:val="20"/>
        </w:rPr>
        <w:t xml:space="preserve">]. Metadata generation for large scientific databases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282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Cloud applications in biology are analyzed in [</w:t>
      </w:r>
      <w:r>
        <w:rPr>
          <w:rFonts w:ascii="Times" w:hAnsi="Times" w:cs="Times"/>
          <w:sz w:val="20"/>
          <w:sz-cs w:val="20"/>
          <w:color w:val="000066"/>
        </w:rPr>
        <w:t xml:space="preserve">223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224</w:t>
      </w:r>
      <w:r>
        <w:rPr>
          <w:rFonts w:ascii="Times" w:hAnsi="Times" w:cs="Times"/>
          <w:sz w:val="20"/>
          <w:sz-cs w:val="20"/>
        </w:rPr>
        <w:t xml:space="preserve">], and social applications of cloud computing</w:t>
      </w:r>
    </w:p>
    <w:p>
      <w:pPr/>
      <w:r>
        <w:rPr>
          <w:rFonts w:ascii="Times" w:hAnsi="Times" w:cs="Times"/>
          <w:sz w:val="20"/>
          <w:sz-cs w:val="20"/>
        </w:rPr>
        <w:t xml:space="preserve">are presented in [</w:t>
      </w:r>
      <w:r>
        <w:rPr>
          <w:rFonts w:ascii="Times" w:hAnsi="Times" w:cs="Times"/>
          <w:sz w:val="20"/>
          <w:sz-cs w:val="20"/>
          <w:color w:val="000066"/>
        </w:rPr>
        <w:t xml:space="preserve">76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171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331</w:t>
      </w:r>
      <w:r>
        <w:rPr>
          <w:rFonts w:ascii="Times" w:hAnsi="Times" w:cs="Times"/>
          <w:sz w:val="20"/>
          <w:sz-cs w:val="20"/>
        </w:rPr>
        <w:t xml:space="preserve">]. Benchmarking of cloud services is analyzed in [</w:t>
      </w:r>
      <w:r>
        <w:rPr>
          <w:rFonts w:ascii="Times" w:hAnsi="Times" w:cs="Times"/>
          <w:sz w:val="20"/>
          <w:sz-cs w:val="20"/>
          <w:color w:val="000066"/>
        </w:rPr>
        <w:t xml:space="preserve">82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179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133</w:t>
      </w:r>
      <w:r>
        <w:rPr>
          <w:rFonts w:ascii="Times" w:hAnsi="Times" w:cs="Times"/>
          <w:sz w:val="20"/>
          <w:sz-cs w:val="20"/>
        </w:rPr>
        <w:t xml:space="preserve">]. High</w:t>
      </w:r>
    </w:p>
    <w:p>
      <w:pPr/>
      <w:r>
        <w:rPr>
          <w:rFonts w:ascii="Times" w:hAnsi="Times" w:cs="Times"/>
          <w:sz w:val="20"/>
          <w:sz-cs w:val="20"/>
        </w:rPr>
        <w:t xml:space="preserve">performance computing on the cloud is discussed in [64] and service-level checking is analyzed in [78].</w:t>
      </w:r>
    </w:p>
    <w:p>
      <w:pPr/>
      <w:r>
        <w:rPr>
          <w:rFonts w:ascii="Times" w:hAnsi="Times" w:cs="Times"/>
          <w:sz w:val="20"/>
          <w:sz-cs w:val="20"/>
        </w:rPr>
        <w:t xml:space="preserve">Cloud migration and open-source cloud computing tools are presented in [190] and [234], respectively,</w:t>
      </w:r>
    </w:p>
    <w:p>
      <w:pPr/>
      <w:r>
        <w:rPr>
          <w:rFonts w:ascii="Times" w:hAnsi="Times" w:cs="Times"/>
          <w:sz w:val="20"/>
          <w:sz-cs w:val="20"/>
        </w:rPr>
        <w:t xml:space="preserve">while software testing and scientific applications are covered in [305] and [375]. Application and data</w:t>
      </w:r>
    </w:p>
    <w:p>
      <w:pPr/>
      <w:r>
        <w:rPr>
          <w:rFonts w:ascii="Times" w:hAnsi="Times" w:cs="Times"/>
          <w:sz w:val="20"/>
          <w:sz-cs w:val="20"/>
        </w:rPr>
        <w:t xml:space="preserve">portability [300], folt-tolerant middleware [388], and a data debugger [330] are also topics of interest for</w:t>
      </w:r>
    </w:p>
    <w:p>
      <w:pPr/>
      <w:r>
        <w:rPr>
          <w:rFonts w:ascii="Times" w:hAnsi="Times" w:cs="Times"/>
          <w:sz w:val="20"/>
          <w:sz-cs w:val="20"/>
        </w:rPr>
        <w:t xml:space="preserve">application developers.Workload migration is analyzed in [</w:t>
      </w:r>
      <w:r>
        <w:rPr>
          <w:rFonts w:ascii="Times" w:hAnsi="Times" w:cs="Times"/>
          <w:sz w:val="20"/>
          <w:sz-cs w:val="20"/>
          <w:color w:val="000066"/>
        </w:rPr>
        <w:t xml:space="preserve">367</w:t>
      </w:r>
      <w:r>
        <w:rPr>
          <w:rFonts w:ascii="Times" w:hAnsi="Times" w:cs="Times"/>
          <w:sz w:val="20"/>
          <w:sz-cs w:val="20"/>
        </w:rPr>
        <w:t xml:space="preserve">], while cost and application performance</w:t>
      </w:r>
    </w:p>
    <w:p>
      <w:pPr/>
      <w:r>
        <w:rPr>
          <w:rFonts w:ascii="Times" w:hAnsi="Times" w:cs="Times"/>
          <w:sz w:val="20"/>
          <w:sz-cs w:val="20"/>
        </w:rPr>
        <w:t xml:space="preserve">issues rediscussed in [</w:t>
      </w:r>
      <w:r>
        <w:rPr>
          <w:rFonts w:ascii="Times" w:hAnsi="Times" w:cs="Times"/>
          <w:sz w:val="20"/>
          <w:sz-cs w:val="20"/>
          <w:color w:val="000066"/>
        </w:rPr>
        <w:t xml:space="preserve">196</w:t>
      </w:r>
      <w:r>
        <w:rPr>
          <w:rFonts w:ascii="Times" w:hAnsi="Times" w:cs="Times"/>
          <w:sz w:val="20"/>
          <w:sz-cs w:val="20"/>
        </w:rPr>
        <w:t xml:space="preserve">] and [</w:t>
      </w:r>
      <w:r>
        <w:rPr>
          <w:rFonts w:ascii="Times" w:hAnsi="Times" w:cs="Times"/>
          <w:sz w:val="20"/>
          <w:sz-cs w:val="20"/>
          <w:color w:val="000066"/>
        </w:rPr>
        <w:t xml:space="preserve">381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