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Software fault isolation </w:t>
      </w:r>
      <w:r>
        <w:rPr>
          <w:rFonts w:ascii="Times" w:hAnsi="Times" w:cs="Times"/>
          <w:sz w:val="20"/>
          <w:sz-cs w:val="20"/>
        </w:rPr>
        <w:t xml:space="preserve">(SFI) offers a technical solution for sandboxing binary code of questionable</w:t>
      </w:r>
    </w:p>
    <w:p>
      <w:pPr/>
      <w:r>
        <w:rPr>
          <w:rFonts w:ascii="Times" w:hAnsi="Times" w:cs="Times"/>
          <w:sz w:val="20"/>
          <w:sz-cs w:val="20"/>
        </w:rPr>
        <w:t xml:space="preserve">provenance that can affect security in cloud computing. Insecure and tampered VM images are one</w:t>
      </w:r>
    </w:p>
    <w:p>
      <w:pPr/>
      <w:r>
        <w:rPr>
          <w:rFonts w:ascii="Times" w:hAnsi="Times" w:cs="Times"/>
          <w:sz w:val="20"/>
          <w:sz-cs w:val="20"/>
        </w:rPr>
        <w:t xml:space="preserve">of the security threats because binary codes of questionable provenance for native plug-ins to a Web</w:t>
      </w:r>
    </w:p>
    <w:p>
      <w:pPr/>
      <w:r>
        <w:rPr>
          <w:rFonts w:ascii="Times" w:hAnsi="Times" w:cs="Times"/>
          <w:sz w:val="20"/>
          <w:sz-cs w:val="20"/>
        </w:rPr>
        <w:t xml:space="preserve">browser can pose a security threat when Web browsers are used to access cloud services.</w:t>
      </w:r>
    </w:p>
    <w:p>
      <w:pPr/>
      <w:r>
        <w:rPr>
          <w:rFonts w:ascii="Times" w:hAnsi="Times" w:cs="Times"/>
          <w:sz w:val="20"/>
          <w:sz-cs w:val="20"/>
        </w:rPr>
        <w:t xml:space="preserve">A recent paper [</w:t>
      </w:r>
      <w:r>
        <w:rPr>
          <w:rFonts w:ascii="Times" w:hAnsi="Times" w:cs="Times"/>
          <w:sz w:val="20"/>
          <w:sz-cs w:val="20"/>
          <w:color w:val="000066"/>
        </w:rPr>
        <w:t xml:space="preserve">322</w:t>
      </w:r>
      <w:r>
        <w:rPr>
          <w:rFonts w:ascii="Times" w:hAnsi="Times" w:cs="Times"/>
          <w:sz w:val="20"/>
          <w:sz-cs w:val="20"/>
        </w:rPr>
        <w:t xml:space="preserve">] discusses the application of the sandboxing technology for two modern CPU</w:t>
      </w:r>
    </w:p>
    <w:p>
      <w:pPr/>
      <w:r>
        <w:rPr>
          <w:rFonts w:ascii="Times" w:hAnsi="Times" w:cs="Times"/>
          <w:sz w:val="20"/>
          <w:sz-cs w:val="20"/>
        </w:rPr>
        <w:t xml:space="preserve">architectures, </w:t>
      </w:r>
      <w:r>
        <w:rPr>
          <w:rFonts w:ascii="Helvetica" w:hAnsi="Helvetica" w:cs="Helvetica"/>
          <w:sz w:val="20"/>
          <w:sz-cs w:val="20"/>
        </w:rPr>
        <w:t xml:space="preserve">ARM </w:t>
      </w:r>
      <w:r>
        <w:rPr>
          <w:rFonts w:ascii="Times" w:hAnsi="Times" w:cs="Times"/>
          <w:sz w:val="20"/>
          <w:sz-cs w:val="20"/>
        </w:rPr>
        <w:t xml:space="preserve">and 64-bit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. </w:t>
      </w:r>
      <w:r>
        <w:rPr>
          <w:rFonts w:ascii="Helvetica" w:hAnsi="Helvetica" w:cs="Helvetica"/>
          <w:sz w:val="20"/>
          <w:sz-cs w:val="20"/>
        </w:rPr>
        <w:t xml:space="preserve">ARM </w:t>
      </w:r>
      <w:r>
        <w:rPr>
          <w:rFonts w:ascii="Times" w:hAnsi="Times" w:cs="Times"/>
          <w:sz w:val="20"/>
          <w:sz-cs w:val="20"/>
        </w:rPr>
        <w:t xml:space="preserve">is a load/store architecture with 32-bit instruction and 16</w:t>
      </w:r>
    </w:p>
    <w:p>
      <w:pPr/>
      <w:r>
        <w:rPr>
          <w:rFonts w:ascii="Times" w:hAnsi="Times" w:cs="Times"/>
          <w:sz w:val="20"/>
          <w:sz-cs w:val="20"/>
        </w:rPr>
        <w:t xml:space="preserve">general-purpose registers. It tends to avoid multicycle instructions, and it shares many RISC architecture</w:t>
      </w:r>
    </w:p>
    <w:p>
      <w:pPr/>
      <w:r>
        <w:rPr>
          <w:rFonts w:ascii="Times" w:hAnsi="Times" w:cs="Times"/>
          <w:sz w:val="20"/>
          <w:sz-cs w:val="20"/>
        </w:rPr>
        <w:t xml:space="preserve">features, but (a) it supports a “thumb” mode with 16-bit instruction extensions; (b) it has complex</w:t>
      </w:r>
    </w:p>
    <w:p>
      <w:pPr/>
      <w:r>
        <w:rPr>
          <w:rFonts w:ascii="Times" w:hAnsi="Times" w:cs="Times"/>
          <w:sz w:val="20"/>
          <w:sz-cs w:val="20"/>
        </w:rPr>
        <w:t xml:space="preserve">addressing modes and a complex barrel shifter; and (c) condition codes can be used to predicate most</w:t>
      </w:r>
    </w:p>
    <w:p>
      <w:pPr/>
      <w:r>
        <w:rPr>
          <w:rFonts w:ascii="Times" w:hAnsi="Times" w:cs="Times"/>
          <w:sz w:val="20"/>
          <w:sz-cs w:val="20"/>
        </w:rPr>
        <w:t xml:space="preserve">instructions. In the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 architecture, general-purpose registers are extended to 64 bits, with an </w:t>
      </w:r>
      <w:r>
        <w:rPr>
          <w:rFonts w:ascii="Courier" w:hAnsi="Courier" w:cs="Courier"/>
          <w:sz w:val="20"/>
          <w:sz-cs w:val="20"/>
        </w:rPr>
        <w:t xml:space="preserve">r</w:t>
      </w:r>
    </w:p>
    <w:p>
      <w:pPr/>
      <w:r>
        <w:rPr>
          <w:rFonts w:ascii="Times" w:hAnsi="Times" w:cs="Times"/>
          <w:sz w:val="20"/>
          <w:sz-cs w:val="20"/>
        </w:rPr>
        <w:t xml:space="preserve">replacing the </w:t>
      </w:r>
      <w:r>
        <w:rPr>
          <w:rFonts w:ascii="Courier" w:hAnsi="Courier" w:cs="Courier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to identify the 64 versus 32-bit registers (e.g., </w:t>
      </w:r>
      <w:r>
        <w:rPr>
          <w:rFonts w:ascii="Courier" w:hAnsi="Courier" w:cs="Courier"/>
          <w:sz w:val="20"/>
          <w:sz-cs w:val="20"/>
        </w:rPr>
        <w:t xml:space="preserve">rax </w:t>
      </w:r>
      <w:r>
        <w:rPr>
          <w:rFonts w:ascii="Times" w:hAnsi="Times" w:cs="Times"/>
          <w:sz w:val="20"/>
          <w:sz-cs w:val="20"/>
        </w:rPr>
        <w:t xml:space="preserve">instead of </w:t>
      </w:r>
      <w:r>
        <w:rPr>
          <w:rFonts w:ascii="Courier" w:hAnsi="Courier" w:cs="Courier"/>
          <w:sz w:val="20"/>
          <w:sz-cs w:val="20"/>
        </w:rPr>
        <w:t xml:space="preserve">eax</w:t>
      </w:r>
      <w:r>
        <w:rPr>
          <w:rFonts w:ascii="Times" w:hAnsi="Times" w:cs="Times"/>
          <w:sz w:val="20"/>
          <w:sz-cs w:val="20"/>
        </w:rPr>
        <w:t xml:space="preserve">). There are eight new</w:t>
      </w:r>
    </w:p>
    <w:p>
      <w:pPr/>
      <w:r>
        <w:rPr>
          <w:rFonts w:ascii="Times" w:hAnsi="Times" w:cs="Times"/>
          <w:sz w:val="20"/>
          <w:sz-cs w:val="20"/>
        </w:rPr>
        <w:t xml:space="preserve">general-purpose registers, named r8–r15. To allow legacy instructions to use these additional registers,</w:t>
      </w:r>
    </w:p>
    <w:p>
      <w:pPr/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 defines a set of new prefix bytes to use for register selection.</w:t>
      </w:r>
    </w:p>
    <w:p>
      <w:pPr/>
      <w:r>
        <w:rPr>
          <w:rFonts w:ascii="Times" w:hAnsi="Times" w:cs="Times"/>
          <w:sz w:val="20"/>
          <w:sz-cs w:val="20"/>
        </w:rPr>
        <w:t xml:space="preserve">This SFI implementation is based on the previous work of the same authors on Google Native</w:t>
      </w:r>
    </w:p>
    <w:p>
      <w:pPr/>
      <w:r>
        <w:rPr>
          <w:rFonts w:ascii="Times" w:hAnsi="Times" w:cs="Times"/>
          <w:sz w:val="20"/>
          <w:sz-cs w:val="20"/>
        </w:rPr>
        <w:t xml:space="preserve">Client (NC) and assumes an execution model in which a trusted run-time shares a process with an</w:t>
      </w:r>
    </w:p>
    <w:p>
      <w:pPr/>
      <w:r>
        <w:rPr>
          <w:rFonts w:ascii="Times" w:hAnsi="Times" w:cs="Times"/>
          <w:sz w:val="20"/>
          <w:sz-cs w:val="20"/>
        </w:rPr>
        <w:t xml:space="preserve">untrusted multithreaded plug-in. The rules for binary code generation of the untrusted plug-in are:</w:t>
      </w:r>
    </w:p>
    <w:p>
      <w:pPr/>
      <w:r>
        <w:rPr>
          <w:rFonts w:ascii="Times" w:hAnsi="Times" w:cs="Times"/>
          <w:sz w:val="20"/>
          <w:sz-cs w:val="20"/>
        </w:rPr>
        <w:t xml:space="preserve">(i) the code section is </w:t>
      </w:r>
      <w:r>
        <w:rPr>
          <w:rFonts w:ascii="Helvetica" w:hAnsi="Helvetica" w:cs="Helvetica"/>
          <w:sz w:val="20"/>
          <w:sz-cs w:val="20"/>
        </w:rPr>
        <w:t xml:space="preserve">read-only </w:t>
      </w:r>
      <w:r>
        <w:rPr>
          <w:rFonts w:ascii="Times" w:hAnsi="Times" w:cs="Times"/>
          <w:sz w:val="20"/>
          <w:sz-cs w:val="20"/>
        </w:rPr>
        <w:t xml:space="preserve">and is statically linked; (ii) the code is divided into 32-byte </w:t>
      </w:r>
      <w:r>
        <w:rPr>
          <w:rFonts w:ascii="Helvetica" w:hAnsi="Helvetica" w:cs="Helvetica"/>
          <w:sz w:val="20"/>
          <w:sz-cs w:val="20"/>
        </w:rPr>
        <w:t xml:space="preserve">bundles</w:t>
      </w:r>
      <w:r>
        <w:rPr>
          <w:rFonts w:ascii="Times" w:hAnsi="Times" w:cs="Times"/>
          <w:sz w:val="20"/>
          <w:sz-cs w:val="20"/>
        </w:rPr>
        <w:t xml:space="preserve">,</w:t>
      </w:r>
    </w:p>
    <w:p>
      <w:pPr/>
      <w:r>
        <w:rPr>
          <w:rFonts w:ascii="Times" w:hAnsi="Times" w:cs="Times"/>
          <w:sz w:val="20"/>
          <w:sz-cs w:val="20"/>
        </w:rPr>
        <w:t xml:space="preserve">and no instruction or pseudo-instruction crosses the bundle boundary; (iii) the disassembly starting at</w:t>
      </w:r>
    </w:p>
    <w:p>
      <w:pPr/>
      <w:r>
        <w:rPr>
          <w:rFonts w:ascii="Times" w:hAnsi="Times" w:cs="Times"/>
          <w:sz w:val="20"/>
          <w:sz-cs w:val="20"/>
        </w:rPr>
        <w:t xml:space="preserve">the bundle boundary reaches all valid instructions; and (iv) all indirect flow-control instructions are</w:t>
      </w:r>
    </w:p>
    <w:p>
      <w:pPr/>
      <w:r>
        <w:rPr>
          <w:rFonts w:ascii="Times" w:hAnsi="Times" w:cs="Times"/>
          <w:sz w:val="20"/>
          <w:sz-cs w:val="20"/>
        </w:rPr>
        <w:t xml:space="preserve">replaced by pseudo-instructions that ensure address alignment to bundle boundaries.</w:t>
      </w:r>
    </w:p>
    <w:p>
      <w:pPr/>
      <w:r>
        <w:rPr>
          <w:rFonts w:ascii="Times" w:hAnsi="Times" w:cs="Times"/>
          <w:sz w:val="20"/>
          <w:sz-cs w:val="20"/>
        </w:rPr>
        <w:t xml:space="preserve">The features of the SFI for the Native Client on the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-32,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-64, and </w:t>
      </w:r>
      <w:r>
        <w:rPr>
          <w:rFonts w:ascii="Helvetica" w:hAnsi="Helvetica" w:cs="Helvetica"/>
          <w:sz w:val="20"/>
          <w:sz-cs w:val="20"/>
        </w:rPr>
        <w:t xml:space="preserve">ARM </w:t>
      </w:r>
      <w:r>
        <w:rPr>
          <w:rFonts w:ascii="Times" w:hAnsi="Times" w:cs="Times"/>
          <w:sz w:val="20"/>
          <w:sz-cs w:val="20"/>
        </w:rPr>
        <w:t xml:space="preserve">are summarized in</w:t>
      </w:r>
    </w:p>
    <w:p>
      <w:pPr/>
      <w:r>
        <w:rPr>
          <w:rFonts w:ascii="Times" w:hAnsi="Times" w:cs="Times"/>
          <w:sz w:val="20"/>
          <w:sz-cs w:val="20"/>
        </w:rPr>
        <w:t xml:space="preserve">Table </w:t>
      </w:r>
      <w:r>
        <w:rPr>
          <w:rFonts w:ascii="Times" w:hAnsi="Times" w:cs="Times"/>
          <w:sz w:val="20"/>
          <w:sz-cs w:val="20"/>
          <w:color w:val="000066"/>
        </w:rPr>
        <w:t xml:space="preserve">5.4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322</w:t>
      </w:r>
      <w:r>
        <w:rPr>
          <w:rFonts w:ascii="Times" w:hAnsi="Times" w:cs="Times"/>
          <w:sz w:val="20"/>
          <w:sz-cs w:val="20"/>
        </w:rPr>
        <w:t xml:space="preserve">]. The control flow and store sandboxing for the </w:t>
      </w:r>
      <w:r>
        <w:rPr>
          <w:rFonts w:ascii="Helvetica" w:hAnsi="Helvetica" w:cs="Helvetica"/>
          <w:sz w:val="20"/>
          <w:sz-cs w:val="20"/>
        </w:rPr>
        <w:t xml:space="preserve">ARM </w:t>
      </w:r>
      <w:r>
        <w:rPr>
          <w:rFonts w:ascii="Times" w:hAnsi="Times" w:cs="Times"/>
          <w:sz w:val="20"/>
          <w:sz-cs w:val="20"/>
        </w:rPr>
        <w:t xml:space="preserve">SFI incur less then 5% average</w:t>
      </w:r>
    </w:p>
    <w:p>
      <w:pPr/>
      <w:r>
        <w:rPr>
          <w:rFonts w:ascii="Times" w:hAnsi="Times" w:cs="Times"/>
          <w:sz w:val="20"/>
          <w:sz-cs w:val="20"/>
        </w:rPr>
        <w:t xml:space="preserve">overhead, and those for </w:t>
      </w:r>
      <w:r>
        <w:rPr>
          <w:rFonts w:ascii="Helvetica" w:hAnsi="Helvetica" w:cs="Helvetica"/>
          <w:sz w:val="20"/>
          <w:sz-cs w:val="20"/>
        </w:rPr>
        <w:t xml:space="preserve">x86</w:t>
      </w:r>
      <w:r>
        <w:rPr>
          <w:rFonts w:ascii="Times" w:hAnsi="Times" w:cs="Times"/>
          <w:sz w:val="20"/>
          <w:sz-cs w:val="20"/>
        </w:rPr>
        <w:t xml:space="preserve">-64 SFI incur less than 7% average overhead.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