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Internet addressing capabilities and the migration of IPv6 are important for cloud computing, as we</w:t>
      </w:r>
    </w:p>
    <w:p>
      <w:pPr/>
      <w:r>
        <w:rPr>
          <w:rFonts w:ascii="Times" w:hAnsi="Times" w:cs="Times"/>
          <w:sz w:val="20"/>
          <w:sz-cs w:val="20"/>
        </w:rPr>
        <w:t xml:space="preserve">shall see in this section. The Internet Protocol, Version 4 (IPv4), provides an addressing capability of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15"/>
          <w:sz-cs w:val="15"/>
        </w:rPr>
        <w:t xml:space="preserve">32</w:t>
      </w:r>
      <w:r>
        <w:rPr>
          <w:rFonts w:ascii="Times" w:hAnsi="Times" w:cs="Times"/>
          <w:sz w:val="20"/>
          <w:sz-cs w:val="20"/>
        </w:rPr>
        <w:t xml:space="preserve">, or approximately 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 billion addresses, a number that proved to be insufficient. Indeed, the Internet</w:t>
      </w:r>
    </w:p>
    <w:p>
      <w:pPr/>
      <w:r>
        <w:rPr>
          <w:rFonts w:ascii="Times" w:hAnsi="Times" w:cs="Times"/>
          <w:sz w:val="20"/>
          <w:sz-cs w:val="20"/>
        </w:rPr>
        <w:t xml:space="preserve">Assigned Numbers Authority (IANA) assigned the last batch of five address blocks to the Regional</w:t>
      </w:r>
    </w:p>
    <w:p>
      <w:pPr/>
      <w:r>
        <w:rPr>
          <w:rFonts w:ascii="Times" w:hAnsi="Times" w:cs="Times"/>
          <w:sz w:val="20"/>
          <w:sz-cs w:val="20"/>
        </w:rPr>
        <w:t xml:space="preserve">Internet Registries in February 2011, officially depleting the global pool of completely fresh blocks of</w:t>
      </w:r>
    </w:p>
    <w:p>
      <w:pPr/>
      <w:r>
        <w:rPr>
          <w:rFonts w:ascii="Times" w:hAnsi="Times" w:cs="Times"/>
          <w:sz w:val="20"/>
          <w:sz-cs w:val="20"/>
        </w:rPr>
        <w:t xml:space="preserve">addresses. Each of the address blocks represents approximately 16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 million possible addresses.</w:t>
      </w:r>
    </w:p>
    <w:p>
      <w:pPr/>
      <w:r>
        <w:rPr>
          <w:rFonts w:ascii="Times" w:hAnsi="Times" w:cs="Times"/>
          <w:sz w:val="20"/>
          <w:sz-cs w:val="20"/>
        </w:rPr>
        <w:t xml:space="preserve">The Internet Protocol, Version 6 (IPv6), provides an addressing capability of 2</w:t>
      </w:r>
      <w:r>
        <w:rPr>
          <w:rFonts w:ascii="Times" w:hAnsi="Times" w:cs="Times"/>
          <w:sz w:val="15"/>
          <w:sz-cs w:val="15"/>
        </w:rPr>
        <w:t xml:space="preserve">128</w:t>
      </w:r>
      <w:r>
        <w:rPr>
          <w:rFonts w:ascii="Times" w:hAnsi="Times" w:cs="Times"/>
          <w:sz w:val="20"/>
          <w:sz-cs w:val="20"/>
        </w:rPr>
        <w:t xml:space="preserve">, or 3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38</w:t>
      </w:r>
    </w:p>
    <w:p>
      <w:pPr/>
      <w:r>
        <w:rPr>
          <w:rFonts w:ascii="Times" w:hAnsi="Times" w:cs="Times"/>
          <w:sz w:val="20"/>
          <w:sz-cs w:val="20"/>
        </w:rPr>
        <w:t xml:space="preserve">addresses. There are other major differences between IPv4 and IPv6: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Multicasting. </w:t>
      </w:r>
      <w:r>
        <w:rPr>
          <w:rFonts w:ascii="Times" w:hAnsi="Times" w:cs="Times"/>
          <w:sz w:val="20"/>
          <w:sz-cs w:val="20"/>
        </w:rPr>
        <w:t xml:space="preserve">IPv6 does not implement traditional IP broadcast, (i.e., the transmission of a packet</w:t>
      </w:r>
    </w:p>
    <w:p>
      <w:pPr/>
      <w:r>
        <w:rPr>
          <w:rFonts w:ascii="Times" w:hAnsi="Times" w:cs="Times"/>
          <w:sz w:val="20"/>
          <w:sz-cs w:val="20"/>
        </w:rPr>
        <w:t xml:space="preserve">to all hosts on the attached link using a special broadcast address) and, therefore, does not define</w:t>
      </w:r>
    </w:p>
    <w:p>
      <w:pPr/>
      <w:r>
        <w:rPr>
          <w:rFonts w:ascii="Times" w:hAnsi="Times" w:cs="Times"/>
          <w:sz w:val="20"/>
          <w:sz-cs w:val="20"/>
        </w:rPr>
        <w:t xml:space="preserve">broadcast addresses. IPv6 supports new multicast solutions, including embedding rendezvous point</w:t>
      </w:r>
    </w:p>
    <w:p>
      <w:pPr/>
      <w:r>
        <w:rPr>
          <w:rFonts w:ascii="Times" w:hAnsi="Times" w:cs="Times"/>
          <w:sz w:val="20"/>
          <w:sz-cs w:val="20"/>
        </w:rPr>
        <w:t xml:space="preserve">addresses in an IPv6 multicast group address, which simplifies the deployment of interdomain</w:t>
      </w:r>
    </w:p>
    <w:p>
      <w:pPr/>
      <w:r>
        <w:rPr>
          <w:rFonts w:ascii="Times" w:hAnsi="Times" w:cs="Times"/>
          <w:sz w:val="20"/>
          <w:sz-cs w:val="20"/>
        </w:rPr>
        <w:t xml:space="preserve">solutions.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Stateless address auto configuration (SLAAC). </w:t>
      </w:r>
      <w:r>
        <w:rPr>
          <w:rFonts w:ascii="Times" w:hAnsi="Times" w:cs="Times"/>
          <w:sz w:val="20"/>
          <w:sz-cs w:val="20"/>
        </w:rPr>
        <w:t xml:space="preserve">IPv6 hosts can configure themselves automatically</w:t>
      </w:r>
    </w:p>
    <w:p>
      <w:pPr/>
      <w:r>
        <w:rPr>
          <w:rFonts w:ascii="Times" w:hAnsi="Times" w:cs="Times"/>
          <w:sz w:val="20"/>
          <w:sz-cs w:val="20"/>
        </w:rPr>
        <w:t xml:space="preserve">when they are connected to a routed IPv6 network using the Internet Control Message Protocol</w:t>
      </w:r>
    </w:p>
    <w:p>
      <w:pPr/>
      <w:r>
        <w:rPr>
          <w:rFonts w:ascii="Times" w:hAnsi="Times" w:cs="Times"/>
          <w:sz w:val="20"/>
          <w:sz-cs w:val="20"/>
        </w:rPr>
        <w:t xml:space="preserve">version 6 (ICMPv6) router discovery messages. When first connected to a network, a host sends a</w:t>
      </w:r>
    </w:p>
    <w:p>
      <w:pPr/>
      <w:r>
        <w:rPr>
          <w:rFonts w:ascii="Times" w:hAnsi="Times" w:cs="Times"/>
          <w:sz w:val="20"/>
          <w:sz-cs w:val="20"/>
        </w:rPr>
        <w:t xml:space="preserve">link-local router solicitation multicast request for its configuration parameters; if configured suitably,</w:t>
      </w:r>
    </w:p>
    <w:p>
      <w:pPr/>
      <w:r>
        <w:rPr>
          <w:rFonts w:ascii="Times" w:hAnsi="Times" w:cs="Times"/>
          <w:sz w:val="20"/>
          <w:sz-cs w:val="20"/>
        </w:rPr>
        <w:t xml:space="preserve">routers respond to such a request with a router advertisement packet that contains network-layer</w:t>
      </w:r>
    </w:p>
    <w:p>
      <w:pPr/>
      <w:r>
        <w:rPr>
          <w:rFonts w:ascii="Times" w:hAnsi="Times" w:cs="Times"/>
          <w:sz w:val="20"/>
          <w:sz-cs w:val="20"/>
        </w:rPr>
        <w:t xml:space="preserve">configuration parameters.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Mandatory support for network security. </w:t>
      </w:r>
      <w:r>
        <w:rPr>
          <w:rFonts w:ascii="Times" w:hAnsi="Times" w:cs="Times"/>
          <w:sz w:val="20"/>
          <w:sz-cs w:val="20"/>
        </w:rPr>
        <w:t xml:space="preserve">Internet Network Security (IPsec) is an integral part of the</w:t>
      </w:r>
    </w:p>
    <w:p>
      <w:pPr/>
      <w:r>
        <w:rPr>
          <w:rFonts w:ascii="Times" w:hAnsi="Times" w:cs="Times"/>
          <w:sz w:val="20"/>
          <w:sz-cs w:val="20"/>
        </w:rPr>
        <w:t xml:space="preserve">base protocol suite in IPv6; it is optional for IPv4. IPsec is a protocol suite operating at the IP layer.</w:t>
      </w:r>
    </w:p>
    <w:p>
      <w:pPr/>
      <w:r>
        <w:rPr>
          <w:rFonts w:ascii="Times" w:hAnsi="Times" w:cs="Times"/>
          <w:sz w:val="20"/>
          <w:sz-cs w:val="20"/>
        </w:rPr>
        <w:t xml:space="preserve">Each IP packet is authenticated and encrypted. Other security protocols operate at the upper layers</w:t>
      </w:r>
    </w:p>
    <w:p>
      <w:pPr/>
      <w:r>
        <w:rPr>
          <w:rFonts w:ascii="Times" w:hAnsi="Times" w:cs="Times"/>
          <w:sz w:val="20"/>
          <w:sz-cs w:val="20"/>
        </w:rPr>
        <w:t xml:space="preserve">of the TCP/IP suite (e.g., the Secure Sockets Layer (SSL), the Transport Layer Security (TLS), and</w:t>
      </w:r>
    </w:p>
    <w:p>
      <w:pPr/>
      <w:r>
        <w:rPr>
          <w:rFonts w:ascii="Times" w:hAnsi="Times" w:cs="Times"/>
          <w:sz w:val="20"/>
          <w:sz-cs w:val="20"/>
        </w:rPr>
        <w:t xml:space="preserve">the Secure Shell (SSH)). IPsec uses several protocols: (1) Authentication Headers (AH) – supports</w:t>
      </w:r>
    </w:p>
    <w:p>
      <w:pPr/>
      <w:r>
        <w:rPr>
          <w:rFonts w:ascii="Times" w:hAnsi="Times" w:cs="Times"/>
          <w:sz w:val="20"/>
          <w:sz-cs w:val="20"/>
        </w:rPr>
        <w:t xml:space="preserve">connectionless integrity, data origin authentication for IP datagrams, and protection against replay</w:t>
      </w:r>
    </w:p>
    <w:p>
      <w:pPr/>
      <w:r>
        <w:rPr>
          <w:rFonts w:ascii="Times" w:hAnsi="Times" w:cs="Times"/>
          <w:sz w:val="20"/>
          <w:sz-cs w:val="20"/>
        </w:rPr>
        <w:t xml:space="preserve">attacks; (2) Encapsulating Security Payloads (ESP) – supports confidentiality, data-origin authentication,</w:t>
      </w:r>
    </w:p>
    <w:p>
      <w:pPr/>
      <w:r>
        <w:rPr>
          <w:rFonts w:ascii="Times" w:hAnsi="Times" w:cs="Times"/>
          <w:sz w:val="20"/>
          <w:sz-cs w:val="20"/>
        </w:rPr>
        <w:t xml:space="preserve">connectionless integrity, an anti-replay service, and limited traffic-flow confidentiality; and</w:t>
      </w:r>
    </w:p>
    <w:p>
      <w:pPr/>
      <w:r>
        <w:rPr>
          <w:rFonts w:ascii="Times" w:hAnsi="Times" w:cs="Times"/>
          <w:sz w:val="20"/>
          <w:sz-cs w:val="20"/>
        </w:rPr>
        <w:t xml:space="preserve">(3) Security Associations (SA) – provides the parameters necessary to operate the AH and/or ESP</w:t>
      </w:r>
    </w:p>
    <w:p>
      <w:pPr/>
      <w:r>
        <w:rPr>
          <w:rFonts w:ascii="Times" w:hAnsi="Times" w:cs="Times"/>
          <w:sz w:val="20"/>
          <w:sz-cs w:val="20"/>
        </w:rPr>
        <w:t xml:space="preserve">operations.</w:t>
      </w:r>
    </w:p>
    <w:p>
      <w:pPr/>
      <w:r>
        <w:rPr>
          <w:rFonts w:ascii="Times" w:hAnsi="Times" w:cs="Times"/>
          <w:sz w:val="20"/>
          <w:sz-cs w:val="20"/>
        </w:rPr>
        <w:t xml:space="preserve">Unfortunately, migration to IPv6 is a very challenging and costly proposition. A simple analogy</w:t>
      </w:r>
    </w:p>
    <w:p>
      <w:pPr/>
      <w:r>
        <w:rPr>
          <w:rFonts w:ascii="Times" w:hAnsi="Times" w:cs="Times"/>
          <w:sz w:val="20"/>
          <w:sz-cs w:val="20"/>
        </w:rPr>
        <w:t xml:space="preserve">allows us to explain the difficulties related to migration to IPv6. The telephone numbers inNorth America</w:t>
      </w:r>
    </w:p>
    <w:p>
      <w:pPr/>
      <w:r>
        <w:rPr>
          <w:rFonts w:ascii="Times" w:hAnsi="Times" w:cs="Times"/>
          <w:sz w:val="20"/>
          <w:sz-cs w:val="20"/>
        </w:rPr>
        <w:t xml:space="preserve">consist of 10 decimal digits; this scheme supports up to 10 billion phones, but, in practice, we have fewer</w:t>
      </w:r>
    </w:p>
    <w:p>
      <w:pPr/>
      <w:r>
        <w:rPr>
          <w:rFonts w:ascii="Times" w:hAnsi="Times" w:cs="Times"/>
          <w:sz w:val="20"/>
          <w:sz-cs w:val="20"/>
        </w:rPr>
        <w:t xml:space="preserve">available numbers than that. Indeed, some phone numbers are wasted because we use area codes based</w:t>
      </w:r>
    </w:p>
    <w:p>
      <w:pPr/>
      <w:r>
        <w:rPr>
          <w:rFonts w:ascii="Times" w:hAnsi="Times" w:cs="Times"/>
          <w:sz w:val="20"/>
          <w:sz-cs w:val="20"/>
        </w:rPr>
        <w:t xml:space="preserve">on geographic proximity and, on the other hand, not all available numbers in a given area are allocated.</w:t>
      </w:r>
    </w:p>
    <w:p>
      <w:pPr/>
      <w:r>
        <w:rPr>
          <w:rFonts w:ascii="Times" w:hAnsi="Times" w:cs="Times"/>
          <w:sz w:val="20"/>
          <w:sz-cs w:val="20"/>
        </w:rPr>
        <w:t xml:space="preserve">To overcome the limited number of phone numbers in this scheme, large organizations use private</w:t>
      </w:r>
    </w:p>
    <w:p>
      <w:pPr/>
      <w:r>
        <w:rPr>
          <w:rFonts w:ascii="Times" w:hAnsi="Times" w:cs="Times"/>
          <w:sz w:val="20"/>
          <w:sz-cs w:val="20"/>
        </w:rPr>
        <w:t xml:space="preserve">phone extensions of typically three to five digits. Thus, a single public phone number can translate</w:t>
      </w:r>
    </w:p>
    <w:p>
      <w:pPr/>
      <w:r>
        <w:rPr>
          <w:rFonts w:ascii="Times" w:hAnsi="Times" w:cs="Times"/>
          <w:sz w:val="20"/>
          <w:sz-cs w:val="20"/>
        </w:rPr>
        <w:t xml:space="preserve">to 1,000 phones for an organization using a three-digit extension. Analogously, Network Address</w:t>
      </w:r>
    </w:p>
    <w:p>
      <w:pPr/>
      <w:r>
        <w:rPr>
          <w:rFonts w:ascii="Times" w:hAnsi="Times" w:cs="Times"/>
          <w:sz w:val="20"/>
          <w:sz-cs w:val="20"/>
        </w:rPr>
        <w:t xml:space="preserve">Translation (NAT) allows a single public IP address to support hundreds or even thousands of private</w:t>
      </w:r>
    </w:p>
    <w:p>
      <w:pPr/>
      <w:r>
        <w:rPr>
          <w:rFonts w:ascii="Times" w:hAnsi="Times" w:cs="Times"/>
          <w:sz w:val="20"/>
          <w:sz-cs w:val="20"/>
        </w:rPr>
        <w:t xml:space="preserve">IP addresses. In the past NAT did not work well with applications such as VoIP and virtual private networking (VPN). Nowadays Skype and STUN VoIP applications work well with NAT and NAT-T,</w:t>
      </w:r>
    </w:p>
    <w:p>
      <w:pPr/>
      <w:r>
        <w:rPr>
          <w:rFonts w:ascii="Times" w:hAnsi="Times" w:cs="Times"/>
          <w:sz w:val="20"/>
          <w:sz-cs w:val="20"/>
        </w:rPr>
        <w:t xml:space="preserve">and SSLVPN supports VPN NAT.</w:t>
      </w:r>
    </w:p>
    <w:p>
      <w:pPr/>
      <w:r>
        <w:rPr>
          <w:rFonts w:ascii="Times" w:hAnsi="Times" w:cs="Times"/>
          <w:sz w:val="20"/>
          <w:sz-cs w:val="20"/>
        </w:rPr>
        <w:t xml:space="preserve">If the telephone companies decide to promote a new system based on 40-decimal-digit phone numbers,</w:t>
      </w:r>
    </w:p>
    <w:p>
      <w:pPr/>
      <w:r>
        <w:rPr>
          <w:rFonts w:ascii="Times" w:hAnsi="Times" w:cs="Times"/>
          <w:sz w:val="20"/>
          <w:sz-cs w:val="20"/>
        </w:rPr>
        <w:t xml:space="preserve">we will need new telephones; at the same time we will need new phone books that are much</w:t>
      </w:r>
    </w:p>
    <w:p>
      <w:pPr/>
      <w:r>
        <w:rPr>
          <w:rFonts w:ascii="Times" w:hAnsi="Times" w:cs="Times"/>
          <w:sz w:val="20"/>
          <w:sz-cs w:val="20"/>
        </w:rPr>
        <w:t xml:space="preserve">thicker because each phone number is 40 characters instead of 10. Each individual will need a new</w:t>
      </w:r>
    </w:p>
    <w:p>
      <w:pPr/>
      <w:r>
        <w:rPr>
          <w:rFonts w:ascii="Times" w:hAnsi="Times" w:cs="Times"/>
          <w:sz w:val="20"/>
          <w:sz-cs w:val="20"/>
        </w:rPr>
        <w:t xml:space="preserve">personal address book, and virtually all the communication and switching equipment and software will</w:t>
      </w:r>
    </w:p>
    <w:p>
      <w:pPr/>
      <w:r>
        <w:rPr>
          <w:rFonts w:ascii="Times" w:hAnsi="Times" w:cs="Times"/>
          <w:sz w:val="20"/>
          <w:sz-cs w:val="20"/>
        </w:rPr>
        <w:t xml:space="preserve">need to be updated. Similarly, the IPv6 migration involves upgrading all applications, hosts, routers, and</w:t>
      </w:r>
    </w:p>
    <w:p>
      <w:pPr/>
      <w:r>
        <w:rPr>
          <w:rFonts w:ascii="Times" w:hAnsi="Times" w:cs="Times"/>
          <w:sz w:val="20"/>
          <w:sz-cs w:val="20"/>
        </w:rPr>
        <w:t xml:space="preserve">DNS infrastructure. Also, moving to IPv6 requires backward compatibility, because any organization</w:t>
      </w:r>
    </w:p>
    <w:p>
      <w:pPr/>
      <w:r>
        <w:rPr>
          <w:rFonts w:ascii="Times" w:hAnsi="Times" w:cs="Times"/>
          <w:sz w:val="20"/>
          <w:sz-cs w:val="20"/>
        </w:rPr>
        <w:t xml:space="preserve">migrating to IPv6 should maintain a complete IPv4 infrastructure.</w:t>
      </w:r>
    </w:p>
    <w:p>
      <w:pPr/>
      <w:r>
        <w:rPr>
          <w:rFonts w:ascii="Times" w:hAnsi="Times" w:cs="Times"/>
          <w:sz w:val="20"/>
          <w:sz-cs w:val="20"/>
        </w:rPr>
        <w:t xml:space="preserve">In 2009 a group from Google investigated the adoption of IPv6 [</w:t>
      </w:r>
      <w:r>
        <w:rPr>
          <w:rFonts w:ascii="Times" w:hAnsi="Times" w:cs="Times"/>
          <w:sz w:val="20"/>
          <w:sz-cs w:val="20"/>
          <w:color w:val="000066"/>
        </w:rPr>
        <w:t xml:space="preserve">89</w:t>
      </w:r>
      <w:r>
        <w:rPr>
          <w:rFonts w:ascii="Times" w:hAnsi="Times" w:cs="Times"/>
          <w:sz w:val="20"/>
          <w:sz-cs w:val="20"/>
        </w:rPr>
        <w:t xml:space="preserve">] and concluded that “… the</w:t>
      </w:r>
    </w:p>
    <w:p>
      <w:pPr/>
      <w:r>
        <w:rPr>
          <w:rFonts w:ascii="Times" w:hAnsi="Times" w:cs="Times"/>
          <w:sz w:val="20"/>
          <w:sz-cs w:val="20"/>
        </w:rPr>
        <w:t xml:space="preserve">IPv6 deployment is small but growing steadily, and that adoption is still heavily influenced by a small</w:t>
      </w:r>
    </w:p>
    <w:p>
      <w:pPr/>
      <w:r>
        <w:rPr>
          <w:rFonts w:ascii="Times" w:hAnsi="Times" w:cs="Times"/>
          <w:sz w:val="20"/>
          <w:sz-cs w:val="20"/>
        </w:rPr>
        <w:t xml:space="preserve">number of large deployments. While we see IPv6 adoption in research and education networks, IPv6</w:t>
      </w:r>
    </w:p>
    <w:p>
      <w:pPr/>
      <w:r>
        <w:rPr>
          <w:rFonts w:ascii="Times" w:hAnsi="Times" w:cs="Times"/>
          <w:sz w:val="20"/>
          <w:sz-cs w:val="20"/>
        </w:rPr>
        <w:t xml:space="preserve">deployment is, with one notable exception, largely absent from consumer access networks.”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