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is scalable storage for online services. The system, distributed over several data centers, has a</w:t>
      </w:r>
    </w:p>
    <w:p>
      <w:pPr/>
      <w:r>
        <w:rPr>
          <w:rFonts w:ascii="Times" w:hAnsi="Times" w:cs="Times"/>
          <w:sz w:val="20"/>
          <w:sz-cs w:val="20"/>
        </w:rPr>
        <w:t xml:space="preserve">very large capacity, 1PBin 2011, and it is highly available.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is widely used internally at Google;</w:t>
      </w:r>
    </w:p>
    <w:p>
      <w:pPr/>
      <w:r>
        <w:rPr>
          <w:rFonts w:ascii="Times" w:hAnsi="Times" w:cs="Times"/>
          <w:sz w:val="20"/>
          <w:sz-cs w:val="20"/>
        </w:rPr>
        <w:t xml:space="preserve">it handles some 23 billion transactions daily: 3 billion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and 20 billion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transactions [</w:t>
      </w:r>
      <w:r>
        <w:rPr>
          <w:rFonts w:ascii="Times" w:hAnsi="Times" w:cs="Times"/>
          <w:sz w:val="20"/>
          <w:sz-cs w:val="20"/>
          <w:color w:val="000066"/>
        </w:rPr>
        <w:t xml:space="preserve">37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basic design philosophy of the system is to partition the data into </w:t>
      </w:r>
      <w:r>
        <w:rPr>
          <w:rFonts w:ascii="Helvetica" w:hAnsi="Helvetica" w:cs="Helvetica"/>
          <w:sz w:val="20"/>
          <w:sz-cs w:val="20"/>
        </w:rPr>
        <w:t xml:space="preserve">entity groups </w:t>
      </w:r>
      <w:r>
        <w:rPr>
          <w:rFonts w:ascii="Times" w:hAnsi="Times" w:cs="Times"/>
          <w:sz w:val="20"/>
          <w:sz-cs w:val="20"/>
        </w:rPr>
        <w:t xml:space="preserve">and replicate</w:t>
      </w:r>
    </w:p>
    <w:p>
      <w:pPr/>
      <w:r>
        <w:rPr>
          <w:rFonts w:ascii="Times" w:hAnsi="Times" w:cs="Times"/>
          <w:sz w:val="20"/>
          <w:sz-cs w:val="20"/>
        </w:rPr>
        <w:t xml:space="preserve">each partition independently in data centers located in different geographic areas. The system supports</w:t>
      </w:r>
    </w:p>
    <w:p>
      <w:pPr/>
      <w:r>
        <w:rPr>
          <w:rFonts w:ascii="Times" w:hAnsi="Times" w:cs="Times"/>
          <w:sz w:val="20"/>
          <w:sz-cs w:val="20"/>
        </w:rPr>
        <w:t xml:space="preserve">full ACID semantics within each partition and provides limited consistency guarantees across partitions</w:t>
      </w:r>
    </w:p>
    <w:p>
      <w:pPr/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8.12</w:t>
      </w:r>
      <w:r>
        <w:rPr>
          <w:rFonts w:ascii="Times" w:hAnsi="Times" w:cs="Times"/>
          <w:sz w:val="20"/>
          <w:sz-cs w:val="20"/>
        </w:rPr>
        <w:t xml:space="preserve">). 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supports only those traditional database features that allow the system to</w:t>
      </w:r>
    </w:p>
    <w:p>
      <w:pPr/>
      <w:r>
        <w:rPr>
          <w:rFonts w:ascii="Times" w:hAnsi="Times" w:cs="Times"/>
          <w:sz w:val="20"/>
          <w:sz-cs w:val="20"/>
        </w:rPr>
        <w:t xml:space="preserve">scale well and that do not drastically affect the response time.</w:t>
      </w:r>
    </w:p>
    <w:p>
      <w:pPr/>
      <w:r>
        <w:rPr>
          <w:rFonts w:ascii="Times" w:hAnsi="Times" w:cs="Times"/>
          <w:sz w:val="20"/>
          <w:sz-cs w:val="20"/>
        </w:rPr>
        <w:t xml:space="preserve">Another distinctive feature of the system is the use of the Paxos consensus algorithm, discussed in</w:t>
      </w:r>
    </w:p>
    <w:p>
      <w:pPr/>
      <w:r>
        <w:rPr>
          <w:rFonts w:ascii="Times" w:hAnsi="Times" w:cs="Times"/>
          <w:sz w:val="20"/>
          <w:sz-cs w:val="20"/>
        </w:rPr>
        <w:t xml:space="preserve">Section 2.11, to replicate primary user data, metadata, and system configuration information across data</w:t>
      </w:r>
    </w:p>
    <w:p>
      <w:pPr/>
      <w:r>
        <w:rPr>
          <w:rFonts w:ascii="Times" w:hAnsi="Times" w:cs="Times"/>
          <w:sz w:val="20"/>
          <w:sz-cs w:val="20"/>
        </w:rPr>
        <w:t xml:space="preserve">centers and for locking. The version of the Paxos algorithm used by 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does not require a single</w:t>
      </w:r>
    </w:p>
    <w:p>
      <w:pPr/>
      <w:r>
        <w:rPr>
          <w:rFonts w:ascii="Times" w:hAnsi="Times" w:cs="Times"/>
          <w:sz w:val="20"/>
          <w:sz-cs w:val="20"/>
        </w:rPr>
        <w:t xml:space="preserve">master. Instead, any node can initiate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 to a write-ahead log replicated to a</w:t>
      </w:r>
    </w:p>
    <w:p>
      <w:pPr/>
      <w:r>
        <w:rPr>
          <w:rFonts w:ascii="Times" w:hAnsi="Times" w:cs="Times"/>
          <w:sz w:val="20"/>
          <w:sz-cs w:val="20"/>
        </w:rPr>
        <w:t xml:space="preserve">group of symmetric peers.</w:t>
      </w:r>
    </w:p>
    <w:p>
      <w:pPr/>
      <w:r>
        <w:rPr>
          <w:rFonts w:ascii="Times" w:hAnsi="Times" w:cs="Times"/>
          <w:sz w:val="20"/>
          <w:sz-cs w:val="20"/>
        </w:rPr>
        <w:t xml:space="preserve">The entity groups are application-specific and store together logically related data. For example, an</w:t>
      </w:r>
    </w:p>
    <w:p>
      <w:pPr/>
      <w:r>
        <w:rPr>
          <w:rFonts w:ascii="Times" w:hAnsi="Times" w:cs="Times"/>
          <w:sz w:val="20"/>
          <w:sz-cs w:val="20"/>
        </w:rPr>
        <w:t xml:space="preserve">email account could be an entity group for an email application. Data should be carefully partitioned</w:t>
      </w:r>
    </w:p>
    <w:p>
      <w:pPr/>
      <w:r>
        <w:rPr>
          <w:rFonts w:ascii="Times" w:hAnsi="Times" w:cs="Times"/>
          <w:sz w:val="20"/>
          <w:sz-cs w:val="20"/>
        </w:rPr>
        <w:t xml:space="preserve">to avoid excessive communication between entity groups. Sometimes it is desirable to form multiple</w:t>
      </w:r>
    </w:p>
    <w:p>
      <w:pPr/>
      <w:r>
        <w:rPr>
          <w:rFonts w:ascii="Times" w:hAnsi="Times" w:cs="Times"/>
          <w:sz w:val="20"/>
          <w:sz-cs w:val="20"/>
        </w:rPr>
        <w:t xml:space="preserve">entity groups, as in the case of blogs [</w:t>
      </w:r>
      <w:r>
        <w:rPr>
          <w:rFonts w:ascii="Times" w:hAnsi="Times" w:cs="Times"/>
          <w:sz w:val="20"/>
          <w:sz-cs w:val="20"/>
          <w:color w:val="000066"/>
        </w:rPr>
        <w:t xml:space="preserve">37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middle ground between traditional and </w:t>
      </w:r>
      <w:r>
        <w:rPr>
          <w:rFonts w:ascii="Helvetica" w:hAnsi="Helvetica" w:cs="Helvetica"/>
          <w:sz w:val="20"/>
          <w:sz-cs w:val="20"/>
        </w:rPr>
        <w:t xml:space="preserve">NoSQL </w:t>
      </w:r>
      <w:r>
        <w:rPr>
          <w:rFonts w:ascii="Times" w:hAnsi="Times" w:cs="Times"/>
          <w:sz w:val="20"/>
          <w:sz-cs w:val="20"/>
        </w:rPr>
        <w:t xml:space="preserve">databases taken by the 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designers is</w:t>
      </w:r>
    </w:p>
    <w:p>
      <w:pPr/>
      <w:r>
        <w:rPr>
          <w:rFonts w:ascii="Times" w:hAnsi="Times" w:cs="Times"/>
          <w:sz w:val="20"/>
          <w:sz-cs w:val="20"/>
        </w:rPr>
        <w:t xml:space="preserve">also reflected in the data model. The data model is declared in a </w:t>
      </w:r>
      <w:r>
        <w:rPr>
          <w:rFonts w:ascii="Helvetica" w:hAnsi="Helvetica" w:cs="Helvetica"/>
          <w:sz w:val="20"/>
          <w:sz-cs w:val="20"/>
        </w:rPr>
        <w:t xml:space="preserve">schema </w:t>
      </w:r>
      <w:r>
        <w:rPr>
          <w:rFonts w:ascii="Times" w:hAnsi="Times" w:cs="Times"/>
          <w:sz w:val="20"/>
          <w:sz-cs w:val="20"/>
        </w:rPr>
        <w:t xml:space="preserve">consisting of a set of </w:t>
      </w:r>
      <w:r>
        <w:rPr>
          <w:rFonts w:ascii="Helvetica" w:hAnsi="Helvetica" w:cs="Helvetica"/>
          <w:sz w:val="20"/>
          <w:sz-cs w:val="20"/>
        </w:rPr>
        <w:t xml:space="preserve">tables</w:t>
      </w:r>
    </w:p>
    <w:p>
      <w:pPr/>
      <w:r>
        <w:rPr>
          <w:rFonts w:ascii="Times" w:hAnsi="Times" w:cs="Times"/>
          <w:sz w:val="20"/>
          <w:sz-cs w:val="20"/>
        </w:rPr>
        <w:t xml:space="preserve">composed of </w:t>
      </w:r>
      <w:r>
        <w:rPr>
          <w:rFonts w:ascii="Helvetica" w:hAnsi="Helvetica" w:cs="Helvetica"/>
          <w:sz w:val="20"/>
          <w:sz-cs w:val="20"/>
        </w:rPr>
        <w:t xml:space="preserve">entries</w:t>
      </w:r>
      <w:r>
        <w:rPr>
          <w:rFonts w:ascii="Times" w:hAnsi="Times" w:cs="Times"/>
          <w:sz w:val="20"/>
          <w:sz-cs w:val="20"/>
        </w:rPr>
        <w:t xml:space="preserve">, each entry being a collection of named and typed </w:t>
      </w:r>
      <w:r>
        <w:rPr>
          <w:rFonts w:ascii="Helvetica" w:hAnsi="Helvetica" w:cs="Helvetica"/>
          <w:sz w:val="20"/>
          <w:sz-cs w:val="20"/>
        </w:rPr>
        <w:t xml:space="preserve">properties</w:t>
      </w:r>
      <w:r>
        <w:rPr>
          <w:rFonts w:ascii="Times" w:hAnsi="Times" w:cs="Times"/>
          <w:sz w:val="20"/>
          <w:sz-cs w:val="20"/>
        </w:rPr>
        <w:t xml:space="preserve">. The unique primary</w:t>
      </w:r>
    </w:p>
    <w:p>
      <w:pPr/>
      <w:r>
        <w:rPr>
          <w:rFonts w:ascii="Times" w:hAnsi="Times" w:cs="Times"/>
          <w:sz w:val="20"/>
          <w:sz-cs w:val="20"/>
        </w:rPr>
        <w:t xml:space="preserve">key of an entity in a table is created as a composition of entry properties. A 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table can be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root </w:t>
      </w:r>
      <w:r>
        <w:rPr>
          <w:rFonts w:ascii="Times" w:hAnsi="Times" w:cs="Times"/>
          <w:sz w:val="20"/>
          <w:sz-cs w:val="20"/>
        </w:rPr>
        <w:t xml:space="preserve">or a </w:t>
      </w:r>
      <w:r>
        <w:rPr>
          <w:rFonts w:ascii="Helvetica" w:hAnsi="Helvetica" w:cs="Helvetica"/>
          <w:sz w:val="20"/>
          <w:sz-cs w:val="20"/>
        </w:rPr>
        <w:t xml:space="preserve">child </w:t>
      </w:r>
      <w:r>
        <w:rPr>
          <w:rFonts w:ascii="Times" w:hAnsi="Times" w:cs="Times"/>
          <w:sz w:val="20"/>
          <w:sz-cs w:val="20"/>
        </w:rPr>
        <w:t xml:space="preserve">table. Each </w:t>
      </w:r>
      <w:r>
        <w:rPr>
          <w:rFonts w:ascii="Helvetica" w:hAnsi="Helvetica" w:cs="Helvetica"/>
          <w:sz w:val="20"/>
          <w:sz-cs w:val="20"/>
        </w:rPr>
        <w:t xml:space="preserve">child entity </w:t>
      </w:r>
      <w:r>
        <w:rPr>
          <w:rFonts w:ascii="Times" w:hAnsi="Times" w:cs="Times"/>
          <w:sz w:val="20"/>
          <w:sz-cs w:val="20"/>
        </w:rPr>
        <w:t xml:space="preserve">must reference a special entity, called a </w:t>
      </w:r>
      <w:r>
        <w:rPr>
          <w:rFonts w:ascii="Helvetica" w:hAnsi="Helvetica" w:cs="Helvetica"/>
          <w:sz w:val="20"/>
          <w:sz-cs w:val="20"/>
        </w:rPr>
        <w:t xml:space="preserve">root entity </w:t>
      </w:r>
      <w:r>
        <w:rPr>
          <w:rFonts w:ascii="Times" w:hAnsi="Times" w:cs="Times"/>
          <w:sz w:val="20"/>
          <w:sz-cs w:val="20"/>
        </w:rPr>
        <w:t xml:space="preserve">in its root</w:t>
      </w:r>
    </w:p>
    <w:p>
      <w:pPr/>
      <w:r>
        <w:rPr>
          <w:rFonts w:ascii="Times" w:hAnsi="Times" w:cs="Times"/>
          <w:sz w:val="20"/>
          <w:sz-cs w:val="20"/>
        </w:rPr>
        <w:t xml:space="preserve">table. An entity group consists of the primary entity and all entities that reference it.</w:t>
      </w:r>
    </w:p>
    <w:p>
      <w:pPr/>
      <w:r>
        <w:rPr>
          <w:rFonts w:ascii="Times" w:hAnsi="Times" w:cs="Times"/>
          <w:sz w:val="20"/>
          <w:sz-cs w:val="20"/>
        </w:rPr>
        <w:t xml:space="preserve">The system makes extensive use of </w:t>
      </w:r>
      <w:r>
        <w:rPr>
          <w:rFonts w:ascii="Helvetica" w:hAnsi="Helvetica" w:cs="Helvetica"/>
          <w:sz w:val="20"/>
          <w:sz-cs w:val="20"/>
        </w:rPr>
        <w:t xml:space="preserve">BigTable</w:t>
      </w:r>
      <w:r>
        <w:rPr>
          <w:rFonts w:ascii="Times" w:hAnsi="Times" w:cs="Times"/>
          <w:sz w:val="20"/>
          <w:sz-cs w:val="20"/>
        </w:rPr>
        <w:t xml:space="preserve">. Entities from different 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tables can be mapped</w:t>
      </w:r>
    </w:p>
    <w:p>
      <w:pPr/>
      <w:r>
        <w:rPr>
          <w:rFonts w:ascii="Times" w:hAnsi="Times" w:cs="Times"/>
          <w:sz w:val="20"/>
          <w:sz-cs w:val="20"/>
        </w:rPr>
        <w:t xml:space="preserve">to the same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row without collisions. This is possible because the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column name is a</w:t>
      </w:r>
    </w:p>
    <w:p>
      <w:pPr/>
      <w:r>
        <w:rPr>
          <w:rFonts w:ascii="Times" w:hAnsi="Times" w:cs="Times"/>
          <w:sz w:val="20"/>
          <w:sz-cs w:val="20"/>
        </w:rPr>
        <w:t xml:space="preserve">concatenation of the 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table name and the name of a property. A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row for the root</w:t>
      </w:r>
    </w:p>
    <w:p>
      <w:pPr/>
      <w:r>
        <w:rPr>
          <w:rFonts w:ascii="Times" w:hAnsi="Times" w:cs="Times"/>
          <w:sz w:val="20"/>
          <w:sz-cs w:val="20"/>
        </w:rPr>
        <w:t xml:space="preserve">entity stores the transaction and all metadata for the entity group. As we saw in Section </w:t>
      </w:r>
      <w:r>
        <w:rPr>
          <w:rFonts w:ascii="Times" w:hAnsi="Times" w:cs="Times"/>
          <w:sz w:val="20"/>
          <w:sz-cs w:val="20"/>
          <w:color w:val="000066"/>
        </w:rPr>
        <w:t xml:space="preserve">8.9</w:t>
      </w:r>
      <w:r>
        <w:rPr>
          <w:rFonts w:ascii="Times" w:hAnsi="Times" w:cs="Times"/>
          <w:sz w:val="20"/>
          <w:sz-cs w:val="20"/>
        </w:rPr>
        <w:t xml:space="preserve">, multiple</w:t>
      </w:r>
    </w:p>
    <w:p>
      <w:pPr/>
      <w:r>
        <w:rPr>
          <w:rFonts w:ascii="Times" w:hAnsi="Times" w:cs="Times"/>
          <w:sz w:val="20"/>
          <w:sz-cs w:val="20"/>
        </w:rPr>
        <w:t xml:space="preserve">versions of the data with different time stamps can be stored in a cell. </w:t>
      </w:r>
      <w:r>
        <w:rPr>
          <w:rFonts w:ascii="Helvetica" w:hAnsi="Helvetica" w:cs="Helvetica"/>
          <w:sz w:val="20"/>
          <w:sz-cs w:val="20"/>
        </w:rPr>
        <w:t xml:space="preserve">Megastore </w:t>
      </w:r>
      <w:r>
        <w:rPr>
          <w:rFonts w:ascii="Times" w:hAnsi="Times" w:cs="Times"/>
          <w:sz w:val="20"/>
          <w:sz-cs w:val="20"/>
        </w:rPr>
        <w:t xml:space="preserve">takes advantage of</w:t>
      </w:r>
    </w:p>
    <w:p>
      <w:pPr/>
      <w:r>
        <w:rPr>
          <w:rFonts w:ascii="Times" w:hAnsi="Times" w:cs="Times"/>
          <w:sz w:val="20"/>
          <w:sz-cs w:val="20"/>
        </w:rPr>
        <w:t xml:space="preserve">this feature to implement </w:t>
      </w:r>
      <w:r>
        <w:rPr>
          <w:rFonts w:ascii="Helvetica" w:hAnsi="Helvetica" w:cs="Helvetica"/>
          <w:sz w:val="20"/>
          <w:sz-cs w:val="20"/>
        </w:rPr>
        <w:t xml:space="preserve">multi-version concurrency control </w:t>
      </w:r>
      <w:r>
        <w:rPr>
          <w:rFonts w:ascii="Times" w:hAnsi="Times" w:cs="Times"/>
          <w:sz w:val="20"/>
          <w:sz-cs w:val="20"/>
        </w:rPr>
        <w:t xml:space="preserve">(MVCC); when a mutation of a transaction</w:t>
      </w:r>
    </w:p>
    <w:p>
      <w:pPr/>
      <w:r>
        <w:rPr>
          <w:rFonts w:ascii="Times" w:hAnsi="Times" w:cs="Times"/>
          <w:sz w:val="20"/>
          <w:sz-cs w:val="20"/>
        </w:rPr>
        <w:t xml:space="preserve">occurs, this mutation is recorded along with its time stamp, rather than marking the old data as obsolete and adding the new version. This strategy has several advantages: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 can</w:t>
      </w:r>
    </w:p>
    <w:p>
      <w:pPr/>
      <w:r>
        <w:rPr>
          <w:rFonts w:ascii="Times" w:hAnsi="Times" w:cs="Times"/>
          <w:sz w:val="20"/>
          <w:sz-cs w:val="20"/>
        </w:rPr>
        <w:t xml:space="preserve">proceed concurrently, and a </w:t>
      </w:r>
      <w:r>
        <w:rPr>
          <w:rFonts w:ascii="Courier" w:hAnsi="Courier" w:cs="Courier"/>
          <w:sz w:val="20"/>
          <w:sz-cs w:val="20"/>
        </w:rPr>
        <w:t xml:space="preserve">read </w:t>
      </w:r>
      <w:r>
        <w:rPr>
          <w:rFonts w:ascii="Times" w:hAnsi="Times" w:cs="Times"/>
          <w:sz w:val="20"/>
          <w:sz-cs w:val="20"/>
        </w:rPr>
        <w:t xml:space="preserve">always returns the last fully updated version.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transaction involves the following steps: (1) Get the timestamp and the log position of</w:t>
      </w:r>
    </w:p>
    <w:p>
      <w:pPr/>
      <w:r>
        <w:rPr>
          <w:rFonts w:ascii="Times" w:hAnsi="Times" w:cs="Times"/>
          <w:sz w:val="20"/>
          <w:sz-cs w:val="20"/>
        </w:rPr>
        <w:t xml:space="preserve">the last committed transaction. (2) Gather the </w:t>
      </w:r>
      <w:r>
        <w:rPr>
          <w:rFonts w:ascii="Courier" w:hAnsi="Courier" w:cs="Courier"/>
          <w:sz w:val="20"/>
          <w:sz-cs w:val="20"/>
        </w:rPr>
        <w:t xml:space="preserve">write </w:t>
      </w:r>
      <w:r>
        <w:rPr>
          <w:rFonts w:ascii="Times" w:hAnsi="Times" w:cs="Times"/>
          <w:sz w:val="20"/>
          <w:sz-cs w:val="20"/>
        </w:rPr>
        <w:t xml:space="preserve">operations in a log entry. (3) Use the consensus</w:t>
      </w:r>
    </w:p>
    <w:p>
      <w:pPr/>
      <w:r>
        <w:rPr>
          <w:rFonts w:ascii="Times" w:hAnsi="Times" w:cs="Times"/>
          <w:sz w:val="20"/>
          <w:sz-cs w:val="20"/>
        </w:rPr>
        <w:t xml:space="preserve">algorithm to </w:t>
      </w:r>
      <w:r>
        <w:rPr>
          <w:rFonts w:ascii="Courier" w:hAnsi="Courier" w:cs="Courier"/>
          <w:sz w:val="20"/>
          <w:sz-cs w:val="20"/>
        </w:rPr>
        <w:t xml:space="preserve">append </w:t>
      </w:r>
      <w:r>
        <w:rPr>
          <w:rFonts w:ascii="Times" w:hAnsi="Times" w:cs="Times"/>
          <w:sz w:val="20"/>
          <w:sz-cs w:val="20"/>
        </w:rPr>
        <w:t xml:space="preserve">the log entry and then commit. (4) Update the </w:t>
      </w:r>
      <w:r>
        <w:rPr>
          <w:rFonts w:ascii="Helvetica" w:hAnsi="Helvetica" w:cs="Helvetica"/>
          <w:sz w:val="20"/>
          <w:sz-cs w:val="20"/>
        </w:rPr>
        <w:t xml:space="preserve">BigTable </w:t>
      </w:r>
      <w:r>
        <w:rPr>
          <w:rFonts w:ascii="Times" w:hAnsi="Times" w:cs="Times"/>
          <w:sz w:val="20"/>
          <w:sz-cs w:val="20"/>
        </w:rPr>
        <w:t xml:space="preserve">entries. (5) Clean up.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