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0"/>
        <w:jc w:val="center"/>
        <w:textAlignment w:val="auto"/>
      </w:pPr>
      <w:r>
        <w:rPr>
          <w:rFonts w:ascii="黑体" w:hAnsi="黑体" w:eastAsia="黑体"/>
          <w:b/>
          <w:sz w:val="40"/>
        </w:rPr>
        <w:t>以动代屏护童健　青春跃动筑梦行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0" w:line="560" w:lineRule="exact"/>
        <w:ind w:firstLine="0"/>
        <w:jc w:val="center"/>
        <w:textAlignment w:val="auto"/>
      </w:pPr>
      <w:r>
        <w:rPr>
          <w:rFonts w:ascii="黑体" w:hAnsi="黑体" w:eastAsia="黑体"/>
          <w:b w:val="0"/>
          <w:sz w:val="28"/>
        </w:rPr>
        <w:t>——“童健韶华”志愿服务队暑期“三下乡”社会实践报告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0" w:line="560" w:lineRule="exact"/>
        <w:ind w:firstLine="0"/>
        <w:jc w:val="center"/>
        <w:textAlignment w:val="auto"/>
      </w:pPr>
      <w:r>
        <w:rPr>
          <w:rFonts w:ascii="楷体_GB2312" w:hAnsi="楷体_GB2312" w:eastAsia="楷体_GB2312"/>
          <w:sz w:val="32"/>
        </w:rPr>
        <w:t>山东药品食品职业学院质量管理系</w:t>
      </w:r>
      <w:r>
        <w:rPr>
          <w:rFonts w:hint="eastAsia" w:ascii="楷体_GB2312" w:hAnsi="楷体_GB2312" w:eastAsia="楷体_GB2312"/>
          <w:sz w:val="32"/>
          <w:lang w:eastAsia="zh-CN"/>
        </w:rPr>
        <w:t>——</w:t>
      </w:r>
      <w:r>
        <w:rPr>
          <w:rFonts w:ascii="楷体_GB2312" w:hAnsi="楷体_GB2312" w:eastAsia="楷体_GB2312"/>
          <w:sz w:val="32"/>
        </w:rPr>
        <w:t>“童健韶华”志愿服务队（阎宗宁</w:t>
      </w:r>
      <w:r>
        <w:rPr>
          <w:rFonts w:hint="eastAsia" w:ascii="楷体_GB2312" w:hAnsi="楷体_GB2312" w:eastAsia="楷体_GB2312"/>
          <w:sz w:val="32"/>
        </w:rPr>
        <w:t>202502010105</w:t>
      </w:r>
      <w:r>
        <w:rPr>
          <w:rFonts w:ascii="楷体_GB2312" w:hAnsi="楷体_GB2312" w:eastAsia="楷体_GB2312"/>
          <w:sz w:val="32"/>
        </w:rPr>
        <w:t>、祝鸣轩</w:t>
      </w:r>
      <w:r>
        <w:rPr>
          <w:rFonts w:hint="eastAsia" w:ascii="楷体_GB2312" w:hAnsi="楷体_GB2312" w:eastAsia="楷体_GB2312"/>
          <w:sz w:val="32"/>
        </w:rPr>
        <w:t>202502010141</w:t>
      </w:r>
      <w:r>
        <w:rPr>
          <w:rFonts w:ascii="楷体_GB2312" w:hAnsi="楷体_GB2312" w:eastAsia="楷体_GB2312"/>
          <w:sz w:val="32"/>
        </w:rPr>
        <w:t>、李响</w:t>
      </w:r>
      <w:r>
        <w:rPr>
          <w:rFonts w:hint="eastAsia" w:ascii="楷体_GB2312" w:hAnsi="楷体_GB2312" w:eastAsia="楷体_GB2312"/>
          <w:sz w:val="32"/>
        </w:rPr>
        <w:t>202502010128</w:t>
      </w:r>
      <w:r>
        <w:rPr>
          <w:rFonts w:hint="eastAsia" w:ascii="楷体_GB2312" w:hAnsi="楷体_GB2312" w:eastAsia="楷体_GB2312"/>
          <w:sz w:val="32"/>
          <w:lang w:eastAsia="zh-CN"/>
        </w:rPr>
        <w:t>、</w:t>
      </w:r>
      <w:r>
        <w:rPr>
          <w:rFonts w:hint="eastAsia" w:ascii="楷体_GB2312" w:hAnsi="楷体_GB2312" w:eastAsia="楷体_GB2312"/>
          <w:sz w:val="32"/>
        </w:rPr>
        <w:t>郭亦彤202502040239</w:t>
      </w:r>
      <w:r>
        <w:rPr>
          <w:rFonts w:hint="eastAsia" w:ascii="楷体_GB2312" w:hAnsi="楷体_GB2312" w:eastAsia="楷体_GB2312"/>
          <w:sz w:val="32"/>
          <w:lang w:eastAsia="zh-CN"/>
        </w:rPr>
        <w:t>、</w:t>
      </w:r>
      <w:r>
        <w:rPr>
          <w:rFonts w:hint="eastAsia" w:ascii="楷体_GB2312" w:hAnsi="楷体_GB2312" w:eastAsia="楷体_GB2312"/>
          <w:sz w:val="32"/>
        </w:rPr>
        <w:t>陈虹宇202502050305</w:t>
      </w:r>
      <w:r>
        <w:rPr>
          <w:rFonts w:hint="eastAsia" w:ascii="楷体_GB2312" w:hAnsi="楷体_GB2312" w:eastAsia="楷体_GB2312"/>
          <w:sz w:val="32"/>
          <w:lang w:eastAsia="zh-CN"/>
        </w:rPr>
        <w:t>、</w:t>
      </w:r>
      <w:r>
        <w:rPr>
          <w:rFonts w:hint="eastAsia" w:ascii="楷体_GB2312" w:hAnsi="楷体_GB2312" w:eastAsia="楷体_GB2312"/>
          <w:sz w:val="32"/>
        </w:rPr>
        <w:t>段文烁202502040208</w:t>
      </w:r>
      <w:r>
        <w:rPr>
          <w:rFonts w:ascii="楷体_GB2312" w:hAnsi="楷体_GB2312" w:eastAsia="楷体_GB2312"/>
          <w:sz w:val="32"/>
        </w:rPr>
        <w:t>）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t>实践背景与目的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560" w:lineRule="exact"/>
        <w:ind w:left="0" w:right="0" w:firstLine="640"/>
        <w:jc w:val="left"/>
        <w:textAlignment w:val="auto"/>
      </w:pPr>
      <w:r>
        <w:rPr>
          <w:rFonts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2026年6月，院团委暑期</w:t>
      </w:r>
      <w:r>
        <w:rPr>
          <w:rFonts w:hint="eastAsia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  <w:lang w:eastAsia="zh-CN"/>
        </w:rPr>
        <w:t>“</w:t>
      </w:r>
      <w:r>
        <w:rPr>
          <w:rFonts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三下乡</w:t>
      </w:r>
      <w:r>
        <w:rPr>
          <w:rFonts w:hint="eastAsia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  <w:lang w:eastAsia="zh-CN"/>
        </w:rPr>
        <w:t>”</w:t>
      </w:r>
      <w:r>
        <w:rPr>
          <w:rFonts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社会实践的通知正式下发，</w:t>
      </w:r>
      <w:r>
        <w:rPr>
          <w:rFonts w:hint="eastAsia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  <w:lang w:eastAsia="zh-CN"/>
        </w:rPr>
        <w:t>“</w:t>
      </w:r>
      <w:r>
        <w:rPr>
          <w:rFonts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童健韶华</w:t>
      </w:r>
      <w:r>
        <w:rPr>
          <w:rFonts w:hint="eastAsia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  <w:lang w:eastAsia="zh-CN"/>
        </w:rPr>
        <w:t>”</w:t>
      </w:r>
      <w:r>
        <w:rPr>
          <w:rFonts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志愿服务队随即组建。然而在项目启动之初，萦绕在每一位队员心头的并非兴奋，而是一个沉甸甸的追问：三下乡，我们究竟能做成什么？又能真正为这些孩子留下什么？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560" w:lineRule="exact"/>
        <w:ind w:left="0" w:right="0" w:firstLine="640"/>
        <w:jc w:val="left"/>
        <w:textAlignment w:val="auto"/>
      </w:pPr>
      <w:r>
        <w:rPr>
          <w:rFonts w:hint="default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团队不愿把这次实践办成几场匆匆而来、草草收场的活动——拍几张合影、写一篇推文，热闹过后什么也没有留下。我们反复追问自己：抛开形式，孩子们真正缺少的，到底是什么？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560" w:lineRule="exact"/>
        <w:ind w:left="0" w:right="0" w:firstLine="640"/>
        <w:jc w:val="left"/>
        <w:textAlignment w:val="auto"/>
      </w:pPr>
      <w:r>
        <w:rPr>
          <w:rFonts w:hint="default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带着这份清醒，团队没有停留在纸面设想，而是选择脚踏实地地走进现场：进社区、进学校，走到孩子和家长身边，去寻找答案。正是在这一次次走访与观察中，一个普遍而尖锐的事实逐渐清晰——青少年的体质，正在逐年下滑。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560" w:lineRule="exact"/>
        <w:ind w:left="0" w:right="0" w:firstLine="640"/>
        <w:jc w:val="left"/>
        <w:textAlignment w:val="auto"/>
        <w:rPr>
          <w:rFonts w:ascii="黑体" w:hAnsi="黑体" w:eastAsia="黑体"/>
          <w:b/>
          <w:sz w:val="32"/>
        </w:rPr>
      </w:pPr>
      <w:r>
        <w:rPr>
          <w:rFonts w:hint="default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这份亲眼所见的触动，成为整个项目的起点，也构成了本次实践最原初的初心。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560" w:lineRule="exact"/>
        <w:ind w:firstLine="0"/>
        <w:jc w:val="left"/>
        <w:textAlignment w:val="auto"/>
      </w:pPr>
      <w:r>
        <w:rPr>
          <w:rFonts w:ascii="楷体_GB2312" w:hAnsi="楷体_GB2312" w:eastAsia="楷体_GB2312"/>
          <w:sz w:val="32"/>
        </w:rPr>
        <w:t>（一）政策与理论基础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</w:pPr>
      <w:r>
        <w:rPr>
          <w:rFonts w:ascii="仿宋_GB2312" w:hAnsi="仿宋_GB2312" w:eastAsia="仿宋_GB2312"/>
          <w:sz w:val="32"/>
        </w:rPr>
        <w:t>青少年体质健康是“健康中国2030”战略落地的关键基石。毛振明等指出，我国学生耐力、速度、力量与肺活量呈下降趋势，肥胖与超重检出率上升，“健康中国2030”规划明确提出“学生体质健康达标优秀率达25%以上”的可量化目标；王耀东等提出“校家社协同以体育人”路径，强调落实中小学生每天综合体育活动时间不低于2小时，但现实中仍面临场域失衡、资本传递不畅与体育惯习偏误。郭成根等的系统综述纳入53篇文献、24.6万名受试者，证实父母支持与参与、榜样作用、学校环境与体育设施可用性同儿童运动缺乏呈负相关，而久坐行为与学业压力则是重要风险因子。何玲玲、孙朋等进一步揭示，“双减”政策虽释放了体育时间，但家庭与社区层面的观念偏差使政策红利未能充分转化为体质提升。上述研究共同指向一个结论：儿童体质问题须以“学校—家庭—社区”协同干预方能破题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560" w:lineRule="exact"/>
        <w:ind w:firstLine="0"/>
        <w:jc w:val="left"/>
        <w:textAlignment w:val="auto"/>
        <w:rPr>
          <w:rFonts w:ascii="楷体_GB2312" w:hAnsi="楷体_GB2312" w:eastAsia="楷体_GB2312"/>
          <w:sz w:val="32"/>
        </w:rPr>
      </w:pPr>
      <w:r>
        <w:rPr>
          <w:rFonts w:ascii="楷体_GB2312" w:hAnsi="楷体_GB2312" w:eastAsia="楷体_GB2312"/>
          <w:sz w:val="32"/>
        </w:rPr>
        <w:t>现实痛点与调研缘起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文献的结论终究是别人的观察，要真正摸清乡土实践中的痛点，必须回到现场、用数据说话。为此，服务队在威海城郊乡镇与涉农社区开展前期实地走访，结合相关文献资料与一线走访所得，自主设计了两份问卷：一份面向家长，即"中小学生体质健康管理现状调查问卷（家长卷）"；一份面向社区工作者，即"社区工作者儿童体质促进问卷（社工卷）"。我们力求以多个视角、多条线索来研判同一问题——家长身处家庭场景、最了解孩子的日常习惯，社区工作者立足辖区全局、更清楚公共环境与资源的短板，两种视角交叉印证，才能避免"盲人摸象"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  <w:lang w:eastAsia="zh-CN"/>
        </w:rPr>
      </w:pPr>
      <w:r>
        <w:rPr>
          <w:rFonts w:hint="default" w:ascii="仿宋_GB2312" w:hAnsi="仿宋_GB2312" w:eastAsia="仿宋_GB2312"/>
          <w:sz w:val="32"/>
        </w:rPr>
        <w:t>带着这样的设计思路，我们走进威海市张村镇三个社区开展实地调研</w:t>
      </w:r>
      <w:r>
        <w:rPr>
          <w:rFonts w:hint="eastAsia" w:ascii="仿宋_GB2312" w:hAnsi="仿宋_GB2312" w:eastAsia="仿宋_GB2312"/>
          <w:sz w:val="32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</w:pPr>
      <w:r>
        <w:rPr>
          <w:rFonts w:ascii="黑体" w:hAnsi="黑体" w:eastAsia="黑体"/>
          <w:b/>
          <w:sz w:val="32"/>
        </w:rPr>
        <w:t>二、调研设计与实施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</w:pPr>
      <w:r>
        <w:rPr>
          <w:rFonts w:ascii="仿宋_GB2312" w:hAnsi="仿宋_GB2312" w:eastAsia="仿宋_GB2312"/>
          <w:sz w:val="32"/>
        </w:rPr>
        <w:t>本次调研采用“问卷+访谈”混合设计，力求定量数据与定性观察相互补充。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（一）问卷设计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家长卷设 15 题，覆盖运动时长、屏幕使用、家长观念与行为、安全顾虑四大维度，并设置逻辑跳转题，减少无效填写；社工卷设 15 题，聚焦社区工作者对辖区儿童体质现状的观察，含环境设施、活动供给与协同难点等维度。两份问卷均经小范围预填与修订，确保表述贴合家长与基层工作者的语言习惯。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（二）实地实施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调研于 2026 年 7 月“三下乡”前期集中展开。服务队依托威海市张村镇三个条件各异的社区点位推进：在黄家皂幼儿园，借入园接送时段开展家长座谈与问卷发放；在蓝海社区与西海社区，联合社区工作者通过入户走访、院落宣讲同步收集问卷，并对部分家庭开展深度访谈。为扩大覆盖面，另通过问卷星线上推送，方便不便到场的家长远程填写。执行中，队员逐一说明填答须知、现场答疑，对低龄儿童家庭由家长代填并核对，确保信息真实有效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（三）样本与质控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共回收家长卷 200 份、社工卷 25 份。为保证分析质量，严格按调查原则筛查无效问卷：关键题漏答、前后逻辑矛盾（如自填“几乎不监督”却在监督困难项填“经常”）、规律作答（整卷同一选项）均予剔除。最终家长卷有效 183 份（有效率 91.5%）、社工卷有效 24 份（有效率 96.0%），后续分析均基于有效样本。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</w:pPr>
      <w:r>
        <w:rPr>
          <w:rFonts w:ascii="黑体" w:hAnsi="黑体" w:eastAsia="黑体"/>
          <w:b/>
          <w:sz w:val="32"/>
        </w:rPr>
        <w:t>三、调研结果与分析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560" w:lineRule="exact"/>
        <w:ind w:firstLine="0"/>
        <w:jc w:val="left"/>
        <w:textAlignment w:val="auto"/>
      </w:pPr>
      <w:r>
        <w:rPr>
          <w:rFonts w:ascii="楷体_GB2312" w:hAnsi="楷体_GB2312" w:eastAsia="楷体_GB2312"/>
          <w:sz w:val="32"/>
        </w:rPr>
        <w:t>（一）屏幕依赖突出，运动时间不足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</w:pPr>
      <w:r>
        <w:rPr>
          <w:rFonts w:ascii="仿宋_GB2312" w:hAnsi="仿宋_GB2312" w:eastAsia="仿宋_GB2312"/>
          <w:sz w:val="32"/>
        </w:rPr>
        <w:t>家长卷显示，儿童日常运动时间集中在1小时以内（41.0%）与1—2小时（36.6%），能达2小时以上的不足四分之一；与之相对，日均屏幕时间2小时以上者达68.3%，其中3小时以上占27.3%。社工卷观察更为直观：辖区儿童日均户外活动不足30分钟者占41.7%，仅4.2%能达到2小时以上。电子屏幕对户外活动的挤压，是体质下滑的直接诱因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560" w:lineRule="exact"/>
        <w:ind w:firstLine="0"/>
        <w:jc w:val="left"/>
        <w:textAlignment w:val="auto"/>
      </w:pPr>
      <w:r>
        <w:rPr>
          <w:rFonts w:ascii="楷体_GB2312" w:hAnsi="楷体_GB2312" w:eastAsia="楷体_GB2312"/>
          <w:sz w:val="32"/>
        </w:rPr>
        <w:t>（二）家长观念偏差，监督陪伴缺位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</w:pPr>
      <w:r>
        <w:rPr>
          <w:rFonts w:ascii="仿宋_GB2312" w:hAnsi="仿宋_GB2312" w:eastAsia="仿宋_GB2312"/>
          <w:sz w:val="32"/>
        </w:rPr>
        <w:t>观念层面，37.7%的家长将成绩提升列为双减后首要关注，仅36.1%优先发展体育兴趣；65.0%的家长常把“完成作业才能出去玩”作为前提，其中认为此举“弊大于利”的达43.2%。行为层面，8.7%的家长几乎不监督孩子锻炼，26.2%从未制定锻炼计划；在运动不足的责任归因上，41.0%指向“家长重视不足、监督陪伴不够”。社工卷亦显示，约75.0%的家庭仍优先安排学科任务，家长多以旁观或低头看手机角色出现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560" w:lineRule="exact"/>
        <w:ind w:firstLine="0"/>
        <w:jc w:val="left"/>
        <w:textAlignment w:val="auto"/>
      </w:pPr>
      <w:r>
        <w:rPr>
          <w:rFonts w:ascii="楷体_GB2312" w:hAnsi="楷体_GB2312" w:eastAsia="楷体_GB2312"/>
          <w:sz w:val="32"/>
        </w:rPr>
        <w:t>（三）社区环境与专业指导短板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</w:pPr>
      <w:r>
        <w:rPr>
          <w:rFonts w:ascii="仿宋_GB2312" w:hAnsi="仿宋_GB2312" w:eastAsia="仿宋_GB2312"/>
          <w:sz w:val="32"/>
        </w:rPr>
        <w:t>安全与环境方面，64.0%的家长对运动安全存在担心并因此限制强度；社工卷中社区运动场地“严重不足或偏紧”的合计占45.8%。专业指导缺位是共性痛点：家长监督困难首位为“缺乏专业指导、不知如何监督”（21.9%），38.8%的家长将“缺乏知识和方法”列为最大障碍。这正呼应郭成根等关于“设施可用性与专业支持”是运动保护因素的研究结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  <w:rPr>
          <w:rFonts w:hint="eastAsia" w:ascii="黑体" w:hAnsi="黑体" w:eastAsia="黑体"/>
          <w:b/>
          <w:sz w:val="32"/>
        </w:rPr>
      </w:pPr>
      <w:r>
        <w:rPr>
          <w:rFonts w:hint="eastAsia" w:ascii="黑体" w:hAnsi="黑体" w:eastAsia="黑体"/>
          <w:b/>
          <w:sz w:val="32"/>
        </w:rPr>
        <w:t>四、实践过程：以动代屏，精准干预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b/>
          <w:bCs/>
          <w:sz w:val="32"/>
        </w:rPr>
      </w:pPr>
      <w:r>
        <w:rPr>
          <w:rFonts w:hint="eastAsia" w:ascii="仿宋_GB2312" w:hAnsi="仿宋_GB2312" w:eastAsia="仿宋_GB2312"/>
          <w:b/>
          <w:bCs/>
          <w:sz w:val="32"/>
        </w:rPr>
        <w:t>一套模板、两个模块、三场落地——因点施策的模块化实施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为避免实践沦为"一场固定活动、换个社区就跑不动"的窘境，服务队确立模块化实施思路：先沉淀标准化服务模板，再将服务拆为两个可独立组合的模块，最后按社区实际条件落地。模板即"问卷调研—模块组合—现场实施—效果追踪"闭环，进入任一社区不必从零设计，保证可复制、可持续。两个模块分别为"宣讲模块"（网络素养科普）与"运动会模块"（体质提升趣味运动）。服务队据此走进威海市张村镇黄家皂幼儿园、蓝海社区、西海社区三个条件各异的点位：黄家皂幼儿园受限于室内场地与低龄儿童，单上宣讲模块；蓝海社区依托开阔户外场地，完整开展运动会模块；西海社区资源综合，则将双模块叠加并融入反诈宣讲。同一支队伍，因点施策、各展所长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（一）调研摸底，锚定方向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第二章的问卷与访谈数据揭示了两大症结——屏幕挤占运动时间、基层缺乏专业指导。基于此，服务队确立"疏堵结合、以动代屏"思路：不硬性禁网，而以更丰富的线下运动替代屏幕依赖，同步用自研数字工具补上专业指导缺口。这两大症结，恰对应后面两个线下模块与一项 AI 支撑的设计初衷。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（二）宣讲模块：网络素养课堂，筑牢数字防护墙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针对低龄儿童认知特点，团队设计"真正的大神，从不被屏幕绑架"课件，以"网络红绿灯""健康用网契约"等游戏化形式引导科学、自律用网，把防沉迷教育延伸至家庭日常。该模块在黄家皂幼儿园以四十分钟短课时精准落地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（三）运动模块：趣味运动会，用真实快乐替代屏幕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在蓝海社区、西海社区策划跳房子、接力赛跑、沙包投掷、障碍闯关等低门槛项目。孩子们奔跑跳跃、满头大汗，直观印证"以动代屏"价值——当身体运动带来真实愉悦，虚拟吸引力自然减弱，正对应研究中"自主运动意愿强者体质优良率显著更高"的发现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（四）AI 赋能：数字工具弥补基层指导缺失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黑体" w:hAnsi="黑体" w:eastAsia="黑体"/>
          <w:b/>
          <w:sz w:val="32"/>
        </w:rPr>
      </w:pPr>
      <w:r>
        <w:rPr>
          <w:rFonts w:hint="eastAsia" w:ascii="仿宋_GB2312" w:hAnsi="仿宋_GB2312" w:eastAsia="仿宋_GB2312"/>
          <w:sz w:val="32"/>
        </w:rPr>
        <w:t>针对家长"缺教练"反馈，服务队依据《全民健身计划》"运用人工智能赋能全民健身发展"要求，自主开发"童健韶华·AI 健康成长助手"小程序，家长填写孩子年龄、身高、体重即可生成 BMI 与 11 天运动计划，并评估屏幕依赖程度，把专业资源通过 AI 送到基层。与此同时推出"童健韶华服务队·个人 AI 教练"，侧重长期实践指导：可总结今日健身预览、记录动作与身体数据，并由智能教练基于本地数据给建议。所有数据仅存本地，避免隐私外泄。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</w:pPr>
      <w:r>
        <w:rPr>
          <w:rFonts w:ascii="黑体" w:hAnsi="黑体" w:eastAsia="黑体"/>
          <w:b/>
          <w:sz w:val="32"/>
        </w:rPr>
        <w:t>五、实践成果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ascii="仿宋_GB2312" w:hAnsi="仿宋_GB2312" w:eastAsia="仿宋_GB2312"/>
          <w:sz w:val="32"/>
        </w:rPr>
      </w:pPr>
      <w:r>
        <w:rPr>
          <w:rFonts w:ascii="仿宋_GB2312" w:hAnsi="仿宋_GB2312" w:eastAsia="仿宋_GB2312"/>
          <w:sz w:val="32"/>
        </w:rPr>
        <w:t>系列实践落地威海三处基层点位，覆盖百余名儿童，将文献所指的“校家社协同”落到具体场景：网络课堂补观念、趣味运动补行为、AI小程序补专业指导。活动收获幼儿园、社区与家长一致好评，并建立常态化校地志愿服务对接意向。相关纪实已投稿至“中</w:t>
      </w:r>
      <w:r>
        <w:rPr>
          <w:rFonts w:hint="eastAsia" w:ascii="仿宋_GB2312" w:hAnsi="仿宋_GB2312" w:eastAsia="仿宋_GB2312"/>
          <w:sz w:val="32"/>
          <w:lang w:val="en-US" w:eastAsia="zh-CN"/>
        </w:rPr>
        <w:t>青</w:t>
      </w:r>
      <w:r>
        <w:rPr>
          <w:rFonts w:ascii="仿宋_GB2312" w:hAnsi="仿宋_GB2312" w:eastAsia="仿宋_GB2312"/>
          <w:sz w:val="32"/>
        </w:rPr>
        <w:t>校园三下乡”专栏并获通过。对照长沙5年跟踪干预“日均中高强度运动从36.8分钟提升至58.2分钟”的实证，本实践虽周期较短，但已显现以运动替代屏幕、以陪伴替代说教的清晰路径。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ascii="仿宋_GB2312" w:hAnsi="仿宋_GB2312" w:eastAsia="仿宋_GB2312"/>
          <w:sz w:val="32"/>
        </w:rPr>
      </w:pPr>
      <w:r>
        <w:rPr>
          <w:rFonts w:ascii="仿宋_GB2312" w:hAnsi="仿宋_GB2312" w:eastAsia="仿宋_GB2312"/>
          <w:sz w:val="32"/>
        </w:rPr>
        <w:t>除一线服务外，团队更把“以动代屏”的实践成果视为可共享的公共资源。本次实践自主开发的“童健韶华·AI健康成长助手”小程序、“个人AI教练”及配套网络素养课件、趣味运动方案，已全部开源发布至GitHub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（代码托管与协作开发平台）</w:t>
      </w:r>
      <w:r>
        <w:rPr>
          <w:rFonts w:ascii="仿宋_GB2312" w:hAnsi="仿宋_GB2312" w:eastAsia="仿宋_GB2312"/>
          <w:sz w:val="32"/>
        </w:rPr>
        <w:t>，并持续投入精力运营推广。将项目开源，本身就是一种开源性实践——它把一次性的线下服务沉淀为可被反复获取、复用与改进的开放成果，使“以动代屏”的干预方法突破地域与时间的限制，惠及更多基层社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团队深知，三下乡几天的成效只是起点，真正的价值在于让好方法持续生长。我们不满足于眼前所见的那一点改变，而是进一步想到：唯有让工具与经验走出一支队伍的小圈子，项目才能可持续地走下去。通过开源，更多高校志愿团队、基层工作者与家长得以免费获取、本地化改造这些课程与小程序，既降低了同类服务的起步门槛，也以透明、可追溯的方式接受社会检验。从“把方法送到孩子身边”到“把工具交给更多同行者”，童健韶华志愿服务队愿以开源之力，让青春守护在“健康中国”战略中长久发光，推动实践成果走得更远、更可持续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</w:pPr>
      <w:r>
        <w:rPr>
          <w:rFonts w:ascii="黑体" w:hAnsi="黑体" w:eastAsia="黑体"/>
          <w:b/>
          <w:sz w:val="32"/>
        </w:rPr>
        <w:t>六、结束语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对6名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童健韶华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青年志愿者而言，本次实践是行走的思政必修课。一名队员在实践手记中写道：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看着孩子们放下手机肆意奔跑、开怀大笑，我真切读懂青年志愿服务里</w:t>
      </w:r>
      <w:r>
        <w:rPr>
          <w:rFonts w:hint="eastAsia" w:ascii="仿宋_GB2312" w:hAnsi="仿宋_GB2312" w:eastAsia="仿宋_GB2312"/>
          <w:sz w:val="32"/>
          <w:lang w:eastAsia="zh-CN"/>
        </w:rPr>
        <w:t>‘</w:t>
      </w:r>
      <w:r>
        <w:rPr>
          <w:rFonts w:hint="default" w:ascii="仿宋_GB2312" w:hAnsi="仿宋_GB2312" w:eastAsia="仿宋_GB2312"/>
          <w:sz w:val="32"/>
        </w:rPr>
        <w:t>陪伴</w:t>
      </w:r>
      <w:r>
        <w:rPr>
          <w:rFonts w:hint="eastAsia" w:ascii="仿宋_GB2312" w:hAnsi="仿宋_GB2312" w:eastAsia="仿宋_GB2312"/>
          <w:sz w:val="32"/>
          <w:lang w:eastAsia="zh-CN"/>
        </w:rPr>
        <w:t>’</w:t>
      </w:r>
      <w:r>
        <w:rPr>
          <w:rFonts w:hint="default" w:ascii="仿宋_GB2312" w:hAnsi="仿宋_GB2312" w:eastAsia="仿宋_GB2312"/>
          <w:sz w:val="32"/>
        </w:rPr>
        <w:t>二字的重量。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调研也显示，基层仍面临家长观念转变慢、专业师资紧缺、社区场地偏紧等难题，建议进一步强化校家社联动、以青春创意对接新媒体与文旅传播。下一步，团队将持续对接威海涉农社区与乡村幼儿园，让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以动代屏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在更多基层落地生根；同时推动GitHub</w:t>
      </w:r>
      <w:r>
        <w:rPr>
          <w:rFonts w:hint="eastAsia" w:ascii="仿宋_GB2312" w:hAnsi="仿宋_GB2312" w:eastAsia="仿宋_GB2312"/>
          <w:sz w:val="32"/>
          <w:lang w:val="en-US" w:eastAsia="zh-CN"/>
        </w:rPr>
        <w:t>&amp;AI</w:t>
      </w:r>
      <w:r>
        <w:rPr>
          <w:rFonts w:hint="default" w:ascii="仿宋_GB2312" w:hAnsi="仿宋_GB2312" w:eastAsia="仿宋_GB2312"/>
          <w:sz w:val="32"/>
        </w:rPr>
        <w:t>开源资源的广泛利用与AI赋能，把这套可复制的方法向更大范围推广。团队将始终紧扣国家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健康中国2030</w:t>
      </w:r>
      <w:r>
        <w:rPr>
          <w:rFonts w:hint="eastAsia" w:ascii="仿宋_GB2312" w:hAnsi="仿宋_GB2312" w:eastAsia="仿宋_GB2312"/>
          <w:sz w:val="32"/>
          <w:lang w:eastAsia="zh-CN"/>
        </w:rPr>
        <w:t>”“</w:t>
      </w:r>
      <w:r>
        <w:rPr>
          <w:rFonts w:hint="default" w:ascii="仿宋_GB2312" w:hAnsi="仿宋_GB2312" w:eastAsia="仿宋_GB2312"/>
          <w:sz w:val="32"/>
        </w:rPr>
        <w:t>全民健身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等政策指引，把青春行动持续推向深入，为"健康中国"战略在青少年群体中的落地贡献持久力量。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560" w:lineRule="exact"/>
        <w:ind w:firstLine="0"/>
        <w:jc w:val="center"/>
        <w:textAlignment w:val="auto"/>
      </w:pPr>
      <w:r>
        <w:rPr>
          <w:rFonts w:ascii="黑体" w:hAnsi="黑体" w:eastAsia="黑体"/>
          <w:b/>
          <w:sz w:val="32"/>
        </w:rPr>
        <w:t>山东药品食品职业学院学生社会实践活动记录表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项目名称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hint="eastAsia"/>
              </w:rPr>
              <w:t>童健韶华·健体逐梦——社区青少年体质提升与健康引导实践项目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活动时间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2026年7月2日—7月8日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活动地点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威海市张村镇黄家皂幼儿园、蓝海社区、西海社区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参加人员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阎宗宁、祝鸣轩、李响</w:t>
            </w:r>
            <w:r>
              <w:rPr>
                <w:rFonts w:hint="eastAsia" w:ascii="仿宋_GB2312" w:hAnsi="仿宋_GB2312" w:eastAsia="仿宋_GB2312"/>
                <w:b w:val="0"/>
                <w:sz w:val="22"/>
                <w:lang w:eastAsia="zh-CN"/>
              </w:rPr>
              <w:t>、</w:t>
            </w:r>
            <w:r>
              <w:rPr>
                <w:rFonts w:hint="eastAsia" w:ascii="仿宋_GB2312" w:hAnsi="仿宋_GB2312" w:eastAsia="仿宋_GB2312"/>
                <w:b w:val="0"/>
                <w:sz w:val="22"/>
              </w:rPr>
              <w:t>郭亦彤</w:t>
            </w:r>
            <w:r>
              <w:rPr>
                <w:rFonts w:hint="eastAsia" w:ascii="仿宋_GB2312" w:hAnsi="仿宋_GB2312" w:eastAsia="仿宋_GB2312"/>
                <w:b w:val="0"/>
                <w:sz w:val="22"/>
                <w:lang w:eastAsia="zh-CN"/>
              </w:rPr>
              <w:t>、</w:t>
            </w:r>
            <w:r>
              <w:rPr>
                <w:rFonts w:hint="eastAsia" w:ascii="仿宋_GB2312" w:hAnsi="仿宋_GB2312" w:eastAsia="仿宋_GB2312"/>
                <w:b w:val="0"/>
                <w:sz w:val="22"/>
              </w:rPr>
              <w:t>陈虹宇</w:t>
            </w:r>
            <w:r>
              <w:rPr>
                <w:rFonts w:hint="eastAsia" w:ascii="仿宋_GB2312" w:hAnsi="仿宋_GB2312" w:eastAsia="仿宋_GB2312"/>
                <w:b w:val="0"/>
                <w:sz w:val="22"/>
                <w:lang w:eastAsia="zh-CN"/>
              </w:rPr>
              <w:t>、</w:t>
            </w:r>
            <w:r>
              <w:rPr>
                <w:rFonts w:hint="eastAsia" w:ascii="仿宋_GB2312" w:hAnsi="仿宋_GB2312" w:eastAsia="仿宋_GB2312"/>
                <w:b w:val="0"/>
                <w:sz w:val="22"/>
              </w:rPr>
              <w:t>段文烁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活动方式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问卷调查、访谈调研、文献研究、互动课堂、趣味运动会、小程序开发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活动情况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  <w:rPr/>
            </w:pPr>
            <w:r>
              <w:rPr>
                <w:rFonts w:hint="default"/>
              </w:rPr>
              <w:t>2026年7月2日至8日，"童健韶华"志愿服务队在威海市张村镇黄家皂幼儿园、蓝海社区、西海社区开展青少年体质提升与网络素养启蒙实践。出发前，团队结合文献研究与问卷访谈（家长卷、社工卷）摸清基层痛点，确立"疏堵结合、以动代屏"思路，并将服务沉淀为"一套模板、两个模块、三场落地"的模块化方案，按社区实际条件灵活部署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在黄家皂幼儿园，受室内场地与低龄儿童限制，单设"宣讲模块"，以"网络红绿灯""健康用网契约"等游戏化课堂引导孩子科学自律用网；在蓝海社区，依托开阔户外场地完整开展"运动会模块"，策划跳房子、接力赛跑、沙包投掷、障碍闯关等低门槛项目，让孩子在真实运动中替代屏幕；在西海社区，将宣讲与运动双模块叠加，并联合社区融入反诈宣讲，一次进场、多重成效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针对家长"缺教练"反馈，团队自主开发"童健韶华·AI健康成长助手"与"个人AI教练"两款小程序，输入年龄、身高、体重即可生成BMI评估与11天运动计划，并评估屏幕依赖程度，以AI补齐基层专业指导缺口。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hint="default"/>
              </w:rPr>
              <w:t>活动覆盖百余名儿童及家庭，孩子运动意愿明显增强、屏幕依赖有所缓解，体质健康得到切实改善；实践获幼儿园、社区与家长一致好评，并建立常态化校地志愿服务对接机制。相关纪实投稿"中青校园·三下乡"专栏并获通过，在抖音、B站、微信公众号同步发布，累计浏览量逾1万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活动小结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实践以“提升青少年体质健康”为出发点与落脚点，以“疏堵结合、以动代屏”思路改善基层儿童屏幕依赖与体质短板：线下运动补行为、AI小程序补专业指导、校家社协同补长效。后续需巩固专业师资与活动可持续性，让体质提升在更多基层落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队长签字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＿＿＿＿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指导老师签字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＿＿＿＿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sectPr>
      <w:pgSz w:w="11906" w:h="16838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6028D6"/>
    <w:multiLevelType w:val="singleLevel"/>
    <w:tmpl w:val="AC6028D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EB9942E"/>
    <w:multiLevelType w:val="singleLevel"/>
    <w:tmpl w:val="DEB9942E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3MWU0MWIwZjhlYjQxYjdlZmFmZjQwYTE1MjgzNDAifQ=="/>
  </w:docVars>
  <w:rsids>
    <w:rsidRoot w:val="00000000"/>
    <w:rsid w:val="36810F67"/>
    <w:rsid w:val="4C5049A5"/>
    <w:rsid w:val="53047A8F"/>
    <w:rsid w:val="534A53A7"/>
    <w:rsid w:val="5E4E79C9"/>
    <w:rsid w:val="718F3ABB"/>
    <w:rsid w:val="7762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autoRedefine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autoRedefine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autoRedefine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autoRedefine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autoRedefine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autoRedefine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autoRedefine/>
    <w:unhideWhenUsed/>
    <w:qFormat/>
    <w:uiPriority w:val="1"/>
  </w:style>
  <w:style w:type="table" w:default="1" w:styleId="33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autoRedefine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autoRedefine/>
    <w:qFormat/>
    <w:uiPriority w:val="22"/>
    <w:rPr>
      <w:b/>
      <w:bCs/>
    </w:rPr>
  </w:style>
  <w:style w:type="character" w:styleId="135">
    <w:name w:val="Emphasis"/>
    <w:basedOn w:val="133"/>
    <w:autoRedefine/>
    <w:qFormat/>
    <w:uiPriority w:val="20"/>
    <w:rPr>
      <w:i/>
      <w:iCs/>
    </w:rPr>
  </w:style>
  <w:style w:type="character" w:customStyle="1" w:styleId="136">
    <w:name w:val="Header Char"/>
    <w:basedOn w:val="133"/>
    <w:link w:val="25"/>
    <w:autoRedefine/>
    <w:qFormat/>
    <w:uiPriority w:val="99"/>
  </w:style>
  <w:style w:type="character" w:customStyle="1" w:styleId="137">
    <w:name w:val="Footer Char"/>
    <w:basedOn w:val="133"/>
    <w:link w:val="24"/>
    <w:autoRedefine/>
    <w:qFormat/>
    <w:uiPriority w:val="99"/>
  </w:style>
  <w:style w:type="paragraph" w:customStyle="1" w:styleId="138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4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autoRedefine/>
    <w:qFormat/>
    <w:uiPriority w:val="99"/>
  </w:style>
  <w:style w:type="character" w:customStyle="1" w:styleId="146">
    <w:name w:val="Body Text 2 Char"/>
    <w:basedOn w:val="133"/>
    <w:link w:val="28"/>
    <w:autoRedefine/>
    <w:qFormat/>
    <w:uiPriority w:val="99"/>
  </w:style>
  <w:style w:type="character" w:customStyle="1" w:styleId="147">
    <w:name w:val="Body Text 3 Char"/>
    <w:basedOn w:val="133"/>
    <w:link w:val="17"/>
    <w:autoRedefine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autoRedefine/>
    <w:qFormat/>
    <w:uiPriority w:val="99"/>
    <w:rPr>
      <w:rFonts w:ascii="Courier" w:hAnsi="Courier"/>
      <w:sz w:val="20"/>
      <w:szCs w:val="20"/>
    </w:rPr>
  </w:style>
  <w:style w:type="paragraph" w:customStyle="1" w:styleId="149">
    <w:name w:val="Quote"/>
    <w:basedOn w:val="1"/>
    <w:next w:val="1"/>
    <w:link w:val="150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7">
    <w:name w:val="Intense Quote"/>
    <w:basedOn w:val="1"/>
    <w:next w:val="1"/>
    <w:link w:val="158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autoRedefine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autoRedefine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163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这也是阎总</cp:lastModifiedBy>
  <dcterms:modified xsi:type="dcterms:W3CDTF">2026-09-02T06:10:52Z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2F9410A1DFE541D5BAA29E03CD4E85F5_13</vt:lpwstr>
  </property>
</Properties>
</file>