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2025级药品质量与安全01班-</w:t>
      </w:r>
      <w:r>
        <w:rPr>
          <w:rFonts w:ascii="楷体" w:hAnsi="楷体" w:eastAsia="楷体"/>
          <w:b w:val="0"/>
          <w:sz w:val="28"/>
        </w:rPr>
        <w:t>阎宗宁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202502010105</w:t>
      </w:r>
      <w:r>
        <w:rPr>
          <w:rFonts w:ascii="楷体" w:hAnsi="楷体" w:eastAsia="楷体"/>
          <w:b w:val="0"/>
          <w:sz w:val="28"/>
        </w:rPr>
        <w:t>、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2025级药品质量与安全01班-</w:t>
      </w:r>
      <w:r>
        <w:rPr>
          <w:rFonts w:ascii="楷体" w:hAnsi="楷体" w:eastAsia="楷体"/>
          <w:b w:val="0"/>
          <w:sz w:val="28"/>
        </w:rPr>
        <w:t>祝鸣轩</w:t>
      </w:r>
      <w:r>
        <w:rPr>
          <w:rFonts w:hint="eastAsia" w:ascii="楷体" w:hAnsi="楷体" w:eastAsia="楷体"/>
          <w:b w:val="0"/>
          <w:sz w:val="28"/>
        </w:rPr>
        <w:t>202502010141</w:t>
      </w:r>
      <w:r>
        <w:rPr>
          <w:rFonts w:ascii="楷体" w:hAnsi="楷体" w:eastAsia="楷体"/>
          <w:b w:val="0"/>
          <w:sz w:val="28"/>
        </w:rPr>
        <w:t>、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2025级药品质量与安全01班-</w:t>
      </w:r>
      <w:r>
        <w:rPr>
          <w:rFonts w:ascii="楷体" w:hAnsi="楷体" w:eastAsia="楷体"/>
          <w:b w:val="0"/>
          <w:sz w:val="28"/>
        </w:rPr>
        <w:t>李响</w:t>
      </w:r>
      <w:r>
        <w:rPr>
          <w:rFonts w:hint="eastAsia" w:ascii="楷体" w:hAnsi="楷体" w:eastAsia="楷体"/>
          <w:b w:val="0"/>
          <w:sz w:val="28"/>
        </w:rPr>
        <w:t>202502010128</w:t>
      </w:r>
      <w:r>
        <w:rPr>
          <w:rFonts w:ascii="楷体" w:hAnsi="楷体" w:eastAsia="楷体"/>
          <w:b w:val="0"/>
          <w:sz w:val="28"/>
        </w:rPr>
        <w:t>、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2025级</w:t>
      </w:r>
      <w:r>
        <w:rPr>
          <w:rFonts w:hint="eastAsia" w:ascii="楷体" w:hAnsi="楷体" w:eastAsia="楷体"/>
          <w:b w:val="0"/>
          <w:sz w:val="28"/>
        </w:rPr>
        <w:t>食品药品监督管理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02班-</w:t>
      </w:r>
      <w:r>
        <w:rPr>
          <w:rFonts w:ascii="楷体" w:hAnsi="楷体" w:eastAsia="楷体"/>
          <w:b w:val="0"/>
          <w:sz w:val="28"/>
        </w:rPr>
        <w:t>郭亦彤</w:t>
      </w:r>
      <w:r>
        <w:rPr>
          <w:rFonts w:hint="eastAsia" w:ascii="楷体" w:hAnsi="楷体" w:eastAsia="楷体"/>
          <w:b w:val="0"/>
          <w:sz w:val="28"/>
        </w:rPr>
        <w:t>202502040239</w:t>
      </w:r>
      <w:r>
        <w:rPr>
          <w:rFonts w:ascii="楷体" w:hAnsi="楷体" w:eastAsia="楷体"/>
          <w:b w:val="0"/>
          <w:sz w:val="28"/>
        </w:rPr>
        <w:t>、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2025级医学检验技术03班-</w:t>
      </w:r>
      <w:r>
        <w:rPr>
          <w:rFonts w:ascii="楷体" w:hAnsi="楷体" w:eastAsia="楷体"/>
          <w:b w:val="0"/>
          <w:sz w:val="28"/>
        </w:rPr>
        <w:t>陈虹宇</w:t>
      </w:r>
      <w:r>
        <w:rPr>
          <w:rFonts w:hint="eastAsia" w:ascii="楷体" w:hAnsi="楷体" w:eastAsia="楷体"/>
          <w:b w:val="0"/>
          <w:sz w:val="28"/>
        </w:rPr>
        <w:t>202502050305</w:t>
      </w:r>
      <w:r>
        <w:rPr>
          <w:rFonts w:ascii="楷体" w:hAnsi="楷体" w:eastAsia="楷体"/>
          <w:b w:val="0"/>
          <w:sz w:val="28"/>
        </w:rPr>
        <w:t>、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2025级</w:t>
      </w:r>
      <w:r>
        <w:rPr>
          <w:rFonts w:hint="eastAsia" w:ascii="楷体" w:hAnsi="楷体" w:eastAsia="楷体"/>
          <w:b w:val="0"/>
          <w:sz w:val="28"/>
        </w:rPr>
        <w:t>食品药品监督管理</w:t>
      </w:r>
      <w:r>
        <w:rPr>
          <w:rFonts w:hint="eastAsia" w:ascii="楷体" w:hAnsi="楷体" w:eastAsia="楷体"/>
          <w:b w:val="0"/>
          <w:sz w:val="28"/>
          <w:lang w:val="en-US" w:eastAsia="zh-CN"/>
        </w:rPr>
        <w:t>02班-</w:t>
      </w:r>
      <w:r>
        <w:rPr>
          <w:rFonts w:ascii="楷体" w:hAnsi="楷体" w:eastAsia="楷体"/>
          <w:b w:val="0"/>
          <w:sz w:val="28"/>
        </w:rPr>
        <w:t>段文烁</w:t>
      </w:r>
      <w:r>
        <w:rPr>
          <w:rFonts w:hint="eastAsia" w:ascii="楷体" w:hAnsi="楷体" w:eastAsia="楷体"/>
          <w:b w:val="0"/>
          <w:sz w:val="28"/>
        </w:rPr>
        <w:t>202502040208</w:t>
      </w:r>
      <w:r>
        <w:rPr>
          <w:rFonts w:ascii="楷体" w:hAnsi="楷体" w:eastAsia="楷体"/>
          <w:b w:val="0"/>
          <w:sz w:val="28"/>
        </w:rPr>
        <w:t>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（一）选题缘由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为服务“十五五”强国计划，国家组织开展2026年“三下乡”社会实践活动（通知见中国青年网）。学院团委据此动员报名，“童健韶华”志愿服务队参加组建。组建后，队员注意到学校对体质健康测试的要求较为严格：测试项目齐全、评分标准不降、成绩与评优评先挂钩。正是这一发现，促使服务队将实践主题确定为以青少年体质提升为切入点，开展“以动代屏”干预实践。为弄清这一要求背后的依据，服务队查阅了相关政策与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（二）政策查阅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查阅结果显示，体测的严格要求并非学校自行规定，而是国家政策在校园的落实：《“健康中国2030”规划纲要》提出“学生体质健康达标优秀率达25%以上”的目标；《体育强国建设“十五五”规划》《全民健身计划（2026—2030年）》（国发〔2026〕26号）要求保障学生每天综合体育活动时间、推动体育资源向基层下沉；山东省出台《山东省中小学生体质健康促进的若干措施》（鲁教体字〔2025〕1号），明确到2027年全省中小学生体质健康测试优良率达到55%，并提出构建“家校社一体化”课外体育锻炼体系、探索“AI+体育”模式。与之形成对照的是，我国学生耐力、速度、力量与肺活量呈下降趋势，肥胖与超重检出率上升</w:t>
      </w:r>
      <w:r>
        <w:rPr>
          <w:sz w:val="32"/>
          <w:vertAlign w:val="superscript"/>
        </w:rPr>
        <w:footnoteReference w:id="0"/>
      </w:r>
      <w:r>
        <w:rPr>
          <w:rFonts w:ascii="仿宋_GB2312" w:hAnsi="仿宋_GB2312" w:eastAsia="仿宋_GB2312"/>
          <w:b w:val="0"/>
          <w:sz w:val="32"/>
        </w:rPr>
        <w:t>；基层仍存在场地不足、专业指导缺位、家庭观念偏差等问题，政策要求与实际情况之间尚有差距。据此，服务队确定以“三下乡”为载体、以社区为落点，开展“以动代屏”干预实践。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二、调研设计与实施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（一）文献梳理与问卷设计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带着体测之问，服务队先梳理了既有研究，再据此设计调查工具。毛振明等指出学生体质呈下降趋势、肥胖超重率上升</w:t>
      </w:r>
      <w:r>
        <w:rPr>
          <w:sz w:val="32"/>
          <w:vertAlign w:val="superscript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；何玲玲等指出“双减”下体质健康问题仍不容乐观</w:t>
      </w:r>
      <w:r>
        <w:rPr>
          <w:sz w:val="32"/>
          <w:vertAlign w:val="superscript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；王耀东等提出“校家社协同以体育人”，强调每天综合体育活动不低于2小时</w:t>
      </w:r>
      <w:r>
        <w:rPr>
          <w:sz w:val="32"/>
          <w:vertAlign w:val="superscript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份研究均指向同一判断：体质问题需学校、家庭、社区协同，社区是薄弱一环。据此，服务队将调查对象定为家长与社区工作者，编制家长卷、社工卷各15题，覆盖运动时长、屏幕使用、家长观念与场地设施等维度，经小范围预填后修订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（二）调查实施与结果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调查在威海市张村镇三个社区点位推进：黄家皂幼儿园利用接送时段座谈发卷，蓝海、西海社区联合工作者入户走访并开展深度访谈，同步通过问卷星线上推送。共回收家长卷200份、社工卷25份，剔除无效后有效183份（91.5%）、24份（96.0%）。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调查结果显示，最突出的矛盾是屏幕时间挤压运动时间：日均运动达2小时以上不足四分之一，屏幕2小时以上达68.3%，户外不足30分钟占41.7%；家长重学业轻体育（仅36.1%优先发展体育兴趣），社区场地偏紧占45.8%，最大障碍为缺乏专业指导与方法（38.8%）。结果与文献判断一致，为后续模块设计提供依据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（一）实施思路：一套模板、两个模块、三场落地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一套模板，指将服务流程标准化，包含问卷调研、模块组合、现场实施、效果追踪四个环节。进入任一社区均按同一套流程推进，前期用问卷摸清该社区的具体情况，再据此组合模块、开展实施，实践结束后进行跟踪回访。流程统一的好处是，更换社区时不必重新设计方案，服务内容可复制、可持续。2026年7月2日至8日，服务队按此模板在张村镇黄家皂幼儿园、蓝海社区、西海社区三个点位落地实施。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两个模块，指将服务内容拆分为宣讲模块与运动会模块。两个模块可单独使用，也可组合使用，具体按社区的实际条件决定：场地开阔的可完整开展运动会，场地受限的可仅开展宣讲，条件综合的则两个模块叠加实施。这样设计，是为了让同一支队伍能够适配条件不同的社区，避免因场地、人群不匹配导致服务无法落地。三场落地，即该思路在张村镇三个点位的具体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（二）宣讲模块：网络素养课堂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“屏幕挤占运动时间”的问题，服务队设计“真正的大神，从不被屏幕绑架”主题课件，采用“网络红绿灯”“健康用网契约”等游戏化形式，开展网络素养与防沉迷教育，并将科学用网的约定延伸至家庭日常。该模块在黄家皂幼儿园以四十分钟课时开展，西海社区双模块实施时一并组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（三）运动会模块：趣味运动会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服务队在蓝海社区设置跳房子、接力赛跑、沙包投掷、障碍闯关等项目，坚持低门槛、非竞技原则，确保每位儿童均可参与，以线下运动替代屏幕时间。该模块在蓝海社区开展，西海社区双模块实施时一并组织。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（四）三场落地效果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黄家皂幼儿园以宣讲模块为主，幼儿与家长初步建立健康用网意识；蓝海社区以运动会模块为主，儿童参与度高、现场组织有序；西海社区双模块叠加实施，覆盖内容最全，家长参与度明显提升。三场实践均按统一模板推进，验证了方案在不同社区条件下的可复制性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（五）AI工具开发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家长反映的“缺乏专业指导”问题，结合《全民健身计划（2026—2030年）》“运用人工智能赋能全民健身发展”及山东省《若干措施》“加强数智赋能、探索AI+体育”的要求，服务队开发“童健韶华·AI健康成长助手”小程序，输入年龄、身高、体重即可生成BMI评估与11天运动计划，并评估屏幕依赖程度；同时推出“个人AI教练”，用于记录训练与身体数据、提供锻炼建议，数据仅存储于本地设备。该工具面向三社区家庭开放使用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四、实践成效与后续推广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（一）实施成效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实践覆盖三处点位、百余名儿童及家庭，现场组织有序，获幼儿园、社区与家长肯定，并与相关单位建立常态化校地志愿服务对接意向。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实践结束后，服务队回访</w:t>
      </w:r>
      <w:r>
        <w:rPr>
          <w:rFonts w:hint="eastAsia"/>
          <w:b w:val="0"/>
          <w:sz w:val="32"/>
          <w:lang w:val="en-US" w:eastAsia="zh-CN"/>
        </w:rPr>
        <w:t>蓝海社区</w:t>
      </w:r>
      <w:bookmarkStart w:id="0" w:name="_GoBack"/>
      <w:bookmarkEnd w:id="0"/>
      <w:r>
        <w:rPr>
          <w:rFonts w:ascii="仿宋_GB2312" w:hAnsi="仿宋_GB2312" w:eastAsia="仿宋_GB2312"/>
          <w:b w:val="0"/>
          <w:sz w:val="32"/>
        </w:rPr>
        <w:t>十余户家庭。家长与社区工作者反馈：儿童手机、平板使用时间较此前有所下降，户外活动时间相应增多，部分家庭已开始安排固定运动时段，家长参与度有所提高。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（三）成果推广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将AI健康成长助手、个人AI教练及配套课件、运动方案开源发布至GitHub，供其他志愿团队与基层工作者免费取用、本地化改造，推动该方法在更多社区推广。相关纪实投稿“中青校园·三下乡”专栏并获通过，抖音、B站、微信公众号同步发布，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五、小结与下一步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通过本次实践，队员对“健康中国”战略与青年志愿服务的内涵有了更具体的认识，专业能力与社会责任感得到提升。同时，服务队在调研与实践中也看到，基层仍存在家长观念转变较慢、专业师资紧缺、社区场地偏紧等现实困难。</w:t>
      </w:r>
    </w:p>
    <w:p>
      <w:pPr>
        <w:spacing w:after="0" w:line="600" w:lineRule="exact"/>
        <w:ind w:firstLineChars="200"/>
      </w:pPr>
      <w:r>
        <w:rPr>
          <w:rFonts w:ascii="仿宋_GB2312" w:hAnsi="仿宋_GB2312" w:eastAsia="仿宋_GB2312"/>
          <w:b w:val="0"/>
          <w:sz w:val="32"/>
        </w:rPr>
        <w:t>下一步，服务队将持续对接威海涉农社区与乡村幼儿园，推动开源资源利用与AI工具应用，紧扣“健康中国2030”“全民健身”等政策指引，逐步扩大该方法的实施范围。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8">
    <w:p>
      <w:pPr>
        <w:spacing w:before="0" w:after="0" w:line="276" w:lineRule="auto"/>
      </w:pPr>
      <w:r>
        <w:separator/>
      </w:r>
    </w:p>
  </w:footnote>
  <w:footnote w:type="continuationSeparator" w:id="9">
    <w:p>
      <w:pPr>
        <w:spacing w:before="0" w:after="0" w:line="276" w:lineRule="auto"/>
      </w:pPr>
      <w:r>
        <w:continuationSeparator/>
      </w:r>
    </w:p>
  </w:footnote>
  <w:footnote w:id="0">
    <w:p>
      <w:pPr>
        <w:spacing w:after="0" w:line="240" w:lineRule="auto"/>
      </w:pPr>
      <w:r>
        <w:rPr>
          <w:rFonts w:ascii="宋体" w:hAnsi="宋体" w:eastAsia="宋体"/>
          <w:sz w:val="21"/>
        </w:rPr>
        <w:footnoteRef/>
      </w:r>
      <w:r>
        <w:rPr>
          <w:rFonts w:ascii="宋体" w:hAnsi="宋体" w:eastAsia="宋体"/>
          <w:sz w:val="21"/>
        </w:rPr>
        <w:t xml:space="preserve"> 毛振明，查萍，丁天翠，等．学生体质测量、分析与干预不精准：问题与应对[J]．上海体育大学学报，2024，48（10）：1-8．</w:t>
      </w:r>
    </w:p>
  </w:footnote>
  <w:footnote w:id="1">
    <w:p/>
  </w:footnote>
  <w:footnote w:id="2">
    <w:p>
      <w:pPr>
        <w:spacing w:after="0" w:line="240" w:lineRule="auto"/>
      </w:pPr>
      <w:r>
        <w:rPr>
          <w:rFonts w:ascii="宋体" w:hAnsi="宋体" w:eastAsia="宋体"/>
          <w:sz w:val="21"/>
        </w:rPr>
        <w:footnoteRef/>
      </w:r>
      <w:r>
        <w:rPr>
          <w:rFonts w:ascii="宋体" w:hAnsi="宋体" w:eastAsia="宋体"/>
          <w:sz w:val="21"/>
        </w:rPr>
        <w:t xml:space="preserve"> 何玲玲，朱常超，吴祺，等．“双减”背景下中小学生体质健康的现实困境、理性反思与应对策略[J]．四川体育科学，2025，44（6）：118-124．</w:t>
      </w:r>
    </w:p>
  </w:footnote>
  <w:footnote w:id="3">
    <w:p>
      <w:pPr>
        <w:spacing w:after="0" w:line="240" w:lineRule="auto"/>
      </w:pPr>
      <w:r>
        <w:rPr>
          <w:rFonts w:ascii="宋体" w:hAnsi="宋体" w:eastAsia="宋体"/>
          <w:sz w:val="21"/>
        </w:rPr>
        <w:footnoteRef/>
      </w:r>
      <w:r>
        <w:rPr>
          <w:rFonts w:ascii="宋体" w:hAnsi="宋体" w:eastAsia="宋体"/>
          <w:sz w:val="21"/>
        </w:rPr>
        <w:t xml:space="preserve"> 王耀东，张慧颖．强国建设视域下校家社以体育人的协同路径研究[J]．体育科学，2026，46（1）：12-23．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8"/>
    <w:footnote w:id="9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AB197F"/>
    <w:rsid w:val="77FA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autoRedefine/>
    <w:qFormat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autoRedefine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这也是阎总</cp:lastModifiedBy>
  <dcterms:modified xsi:type="dcterms:W3CDTF">2026-09-04T06:37:39Z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05BBC3FF6BBE4CBDBB574F1F468F27A3_12</vt:lpwstr>
  </property>
</Properties>
</file>