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 w:val="0"/>
          <w:sz w:val="44"/>
        </w:rPr>
        <w:t>以动代屏护童健　青春跃动筑梦行</w:t>
      </w:r>
    </w:p>
    <w:p>
      <w:pPr>
        <w:spacing w:after="120"/>
        <w:jc w:val="center"/>
      </w:pPr>
      <w:r>
        <w:rPr>
          <w:rFonts w:ascii="楷体" w:hAnsi="楷体" w:eastAsia="楷体"/>
          <w:b w:val="0"/>
          <w:sz w:val="32"/>
        </w:rPr>
        <w:t>——“童健韶华”志愿服务队暑期“三下乡”社会实践报告</w:t>
      </w:r>
    </w:p>
    <w:p>
      <w:pPr>
        <w:spacing w:after="40"/>
        <w:jc w:val="center"/>
      </w:pPr>
      <w:r>
        <w:rPr>
          <w:rFonts w:ascii="楷体" w:hAnsi="楷体" w:eastAsia="楷体"/>
          <w:b w:val="0"/>
          <w:sz w:val="28"/>
        </w:rPr>
        <w:t>山东药品食品职业学院质量管理系“童健韶华”志愿服务队</w:t>
      </w:r>
    </w:p>
    <w:p>
      <w:pPr>
        <w:spacing w:after="40"/>
        <w:jc w:val="center"/>
      </w:pPr>
      <w:r>
        <w:rPr>
          <w:rFonts w:ascii="楷体" w:hAnsi="楷体" w:eastAsia="楷体"/>
          <w:b w:val="0"/>
          <w:sz w:val="28"/>
        </w:rPr>
        <w:t>（阎宗宁、祝鸣轩、李响、郭亦彤、陈虹宇、段文烁）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一、项目缘起：从一次体测到一次出发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（一）身边之问：体测为什么抓得这么严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2026年6月，学院团委暑期“三下乡”社会实践通知下发，“童健韶华”志愿服务队组建。选题时，队员们的注意力集中在一件日常小事上：学校对体质健康测试的要求格外严格——项目一项不少、标准一分不降，成绩直接与评优评先挂钩。学校为什么要在体测上如此较真？带着这个疑问，服务队开始查阅政策与文献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（二）政策已定调，现实仍有落差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查阅后发现，体测之“严”并非学校自定，而是国家意志在校园的落点：《“健康中国2030”规划纲要》设定“学生体质健康达标优秀率达25%以上”的量化目标，《体育强国建设“十五五”规划》《全民健身计划（2026—2030年）》（国发〔2026〕26号）先后就青少年体育与体教融合作出部署，要求保障学生每天综合体育活动时间、推动体育资源向基层下沉。但现实并不乐观——研究显示，我国学生耐力、速度、力量与肺活量呈下降趋势，肥胖与超重检出率持续上升；在基层，场地不足、专业指导缺位、家庭观念偏差等堵点仍在，政策红利难以真正转化为孩子体质的提升。据此，服务队决定以暑期“三下乡”为载体，把落点放在社区，用“以动代屏”的思路做一次可复制的干预实践。【待核验：请补充山东省政策文件的准确名称与文号】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二、调研设计：问卷、数据与文献依据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（一）问卷与访谈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出发之前，服务队采用“问卷+访谈”混合设计：面向家长编制《中小学生体质健康管理现状调查问卷（家长卷）》15题，覆盖运动时长、屏幕使用、家长观念与行为、安全顾虑四个维度；面向社区工作者编制《社区工作者儿童体质促进问卷（社工卷）》15题，聚焦环境设施、活动供给与协同难点。调研在威海市张村镇三个条件各异的社区点位推进：黄家皂幼儿园借入园接送时段开展家长座谈与问卷发放，蓝海社区与西海社区联合社区工作者入户走访、院落宣讲同步收集问卷并对部分家庭开展深度访谈，同时通过问卷星线上推送方便不便到场的家长远程填写。共回收家长卷200份、社工卷25份，按“关键题漏答、前后逻辑矛盾、规律作答”三条标准剔除无效问卷后，家长卷有效183份（有效率91.5%）、社工卷有效24份（有效率96.0%）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（二）文献依据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毛振明等指出，我国学生耐力、速度、力量与肺活量呈下降趋势，肥胖与超重检出率持续上升</w:t>
      </w:r>
      <w:r>
        <w:rPr>
          <w:vertAlign w:val="superscript"/>
          <w:sz w:val="32"/>
        </w:rPr>
        <w:footnoteReference w:id="1"/>
      </w:r>
      <w:r>
        <w:rPr>
          <w:rFonts w:ascii="仿宋_GB2312" w:hAnsi="仿宋_GB2312" w:eastAsia="仿宋_GB2312"/>
          <w:b w:val="0"/>
          <w:sz w:val="32"/>
        </w:rPr>
        <w:t>；郭成根等的系统综述（纳入53篇文献、24.6万名受试者）证实，父母支持与参与、榜样作用、学校环境与体育设施可用性同儿童运动缺乏呈负相关，而久坐行为与学业压力是运动不足的重要风险因子</w:t>
      </w:r>
      <w:r>
        <w:rPr>
          <w:vertAlign w:val="superscript"/>
          <w:sz w:val="32"/>
        </w:rPr>
        <w:footnoteReference w:id="2"/>
      </w:r>
      <w:r>
        <w:rPr>
          <w:rFonts w:ascii="仿宋_GB2312" w:hAnsi="仿宋_GB2312" w:eastAsia="仿宋_GB2312"/>
          <w:b w:val="0"/>
          <w:sz w:val="32"/>
        </w:rPr>
        <w:t>；王耀东等则提出“校家社协同以体育人”路径，强调落实中小学生每天综合体育活动时间不低于2小时，同时指出现实中仍面临场域失衡、协同机制不畅与体育惯习偏误</w:t>
      </w:r>
      <w:r>
        <w:rPr>
          <w:vertAlign w:val="superscript"/>
          <w:sz w:val="32"/>
        </w:rPr>
        <w:footnoteReference w:id="3"/>
      </w:r>
      <w:r>
        <w:rPr>
          <w:rFonts w:ascii="仿宋_GB2312" w:hAnsi="仿宋_GB2312" w:eastAsia="仿宋_GB2312"/>
          <w:b w:val="0"/>
          <w:sz w:val="32"/>
        </w:rPr>
        <w:t>。三项研究共同指向一个结论：儿童体质问题单靠学校一端解决不了，必须以“学校—家庭—社区”协同干预，而社区是其中最薄弱的一环——这也成为我们把实践落点放在社区的直接依据。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（三）三个关键发现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一是孩子不是不想动，是时间被屏幕拿走了。家长卷显示，儿童日常运动时间集中在1小时以内（41.0%）与1—2小时（36.6%），能达到2小时以上的不足四分之一，而日均屏幕时间在2小时以上的达68.3%；社工卷中，辖区儿童日均户外活动不足30分钟的占41.7%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二是家长的观念还停在分数上。37.7%的家长把成绩提升列为“双减”后的首要关注，仅36.1%优先发展孩子的体育兴趣；65.0%习惯以“写完作业才能出去玩”为前提；26.2%从未为孩子制定过锻炼计划。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三是基层最缺的是有人教。64.0%的家长担心运动安全并因此限制孩子的活动强度，社区运动场地“严重不足或偏紧”的合计占45.8%；家长反馈的监督困难中，位列第一的正是“缺乏专业指导、不知如何监督”（21.9%），38.8%把“缺乏知识和方法”列为最大障碍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三、实践过程：以动代屏，让孩子重新认识“健康”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调研之后，我们没有急于办活动，而是先想清楚一个问题：怎样让服务不沦为“一场固定活动、换个社区就跑不动”？答案是模块化。服务队确立“一套模板、两个模块、三场落地”的实施思路：先沉淀一套标准化服务模板，再把服务拆成两个可独立组合的模块，最后按社区实际条件灵活落地。模板即“问卷调研—模块组合—现场实施—效果追踪”的闭环，进入任何一个社区都不必从零设计，保证可复制、可持续。这样的灵活性，正是为了适配条件各异的社区——场地开阔的可以完整开展运动，场地受限的可以只上宣讲，资源综合的则可以双模块叠加，因点施策、各展所长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（一）模块一：网络沉迷宣讲——把“为什么放下手机”讲明白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这个模块直接缘起于调研中“屏幕挤占运动”的发现。“以动代屏”不是简单禁网，而是先让孩子想明白为什么要放下屏幕。团队针对低龄儿童的认知特点，设计“真正的大神，从不被屏幕绑架”主题课件，用“网络红绿灯”“健康用网契约”等游戏化形式，把防沉迷讲成孩子听得懂的道理，并把科学用网的约定延伸到家庭日常。该模块在黄家皂幼儿园以四十分钟短课时落地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（二）模块二：趣味运动会——让孩子在奔跑中重新认识自己的身体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光讲道理不够，还得让孩子亲身体验动起来的快乐。服务队在社区策划跳房子、接力赛跑、沙包投掷、障碍闯关等低门槛项目，不设高门槛、不强求竞技，让每个孩子都能上场。运动场上，孩子们奔跑跳跃、满头大汗——许多孩子是第一次发现，原来不盯着屏幕，自己也能这么开心。身体给出的真实愉悦，正是替代虚拟吸引力最好的答案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（三）三场落地：因点施策进社区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2026年7月2日至8日，服务队走进威海市张村镇三个点位，按各自条件部署模块：黄家皂幼儿园受限于室内场地与低龄儿童，单上宣讲模块；蓝海社区依托开阔的户外场地，完整开展运动会模块；西海社区资源综合，将宣讲与运动双模块叠加。同一套模板、同一支队伍，在三处点位各展所长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（四）AI赋能：把“教练”送到家长身边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家长那句“缺教练、不知怎么教”，被我们记在了心里。政策也指明了方向——《全民健身计划（2026—2030年）》明确提出“运用人工智能赋能全民健身发展”，《“健康中国2030”规划纲要》强调以科技创新支撑健康服务。政策有要求，基层有需求，两者一碰，就有了我们的AI实践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服务队自主开发“童健韶华·AI健康成长助手”小程序：家长填写孩子的年龄、身高、体重，即可生成BMI评估与11天运动计划，并评估屏幕依赖程度，把稀缺的专业指导送到基层。同时推出“童健韶华服务队·个人AI教练”，侧重长期陪伴：可记录训练动作与身体数据、总结当日运动情况，并由智能教练基于本地数据给出建议，所有数据仅存本地，避免隐私外泄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四、实践成效与开源推广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（一）现场成效：健康意识被重新点亮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系列实践落地威海三处基层点位，覆盖百余名儿童及家庭。变化首先发生在认知上：宣讲课堂上，孩子开始主动说出“屏幕时间”这个词；运动场上，原本站在一旁观望的孩子也跑了起来。网络课堂补上了观念，趣味运动补上了行为，AI小程序补上了专业指导，三者合在一起，就是“以动代屏”想要的效果——让孩子重新意识到，健康的体质才是自己最该在意的事。活动收获幼儿园、社区与家长的一致好评，并建立起常态化的校地志愿服务对接意向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（二）后期回访：变化在延续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实践结束后，服务队对落地社区开展了后期回访。社区工作者与家长反馈的变化集中而具体：孩子的手机、平板使用时间较此前明显下降，户外活动时间相应增多，部分家庭开始主动为孩子安排固定的运动时段，家长也从“旁观者”变成了“参与者”。【待补：如留存回访问卷或访谈记录，请补充具体比例、样本量与时间节点】这说明“以动代屏”带来的不只是几场活动的热闹，而是生活习惯的切实改变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（三）开源共享：让方法走出小圈子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我们深知，几天的实践只是起点。为了让这套方法被更多同行者用起来，服务队把自主开发的“AI健康成长助手”“个人AI教练”以及配套的网络素养课件、趣味运动方案，全部开源发布至GitHub。开源本身就是志愿服务的延伸——它把一次性的线下服务，沉淀为可被反复获取、复用与改进的开放成果，让“以动代屏”突破地域与时间的限制。我们致力于把这些工具推广到更多的社区活动中，也希望更多高校志愿团队、基层工作者免费取用、本地化改造。相关纪实已投稿至“中青校园·三下乡”专栏并获通过，在抖音、B站、微信公众号同步发布，累计浏览量逾1万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五、结语：一堂行走的大思政课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对六名队员而言，这次实践是一堂行走的大思政课。我们读懂了“健康中国”不是一句口号，而是一次体测、一份问卷、一场运动会、一份被认真写下的运动计划；我们也读懂了青年志愿服务的分量——所谓“陪伴”，不是走过场的合影，而是蹲下来听孩子说话、陪他们跑完一程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同时我们也清醒地看到，基层的难题仍在：家长观念转变慢、专业师资紧缺、社区场地偏紧。下一步，服务队将持续对接威海涉农社区与乡村幼儿园，让“以动代屏”在更多基层落地生根；持续推动GitHub开源资源的利用与AI赋能，把这套可复制的方法推向更大范围。我们将始终紧扣“健康中国2030”“全民健身”等政策指引，把青春行动持续推向深入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以动代屏，让青春跃动；护童健，我们一直在路上。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spacing w:after="0" w:line="240" w:lineRule="auto"/>
      </w:pPr>
      <w:r>
        <w:rPr>
          <w:rFonts w:ascii="宋体" w:eastAsia="宋体" w:hAnsi="宋体"/>
          <w:sz w:val="21"/>
        </w:rPr>
        <w:footnoteRef/>
      </w:r>
      <w:r>
        <w:rPr>
          <w:rFonts w:ascii="宋体" w:eastAsia="宋体" w:hAnsi="宋体"/>
          <w:sz w:val="21"/>
        </w:rPr>
        <w:t xml:space="preserve"> 毛振明等．【待补：文献题名、期刊（或出版社）、年份】．</w:t>
      </w:r>
    </w:p>
  </w:footnote>
  <w:footnote w:id="2">
    <w:p>
      <w:pPr>
        <w:spacing w:after="0" w:line="240" w:lineRule="auto"/>
      </w:pPr>
      <w:r>
        <w:rPr>
          <w:rFonts w:ascii="宋体" w:eastAsia="宋体" w:hAnsi="宋体"/>
          <w:sz w:val="21"/>
        </w:rPr>
        <w:footnoteRef/>
      </w:r>
      <w:r>
        <w:rPr>
          <w:rFonts w:ascii="宋体" w:eastAsia="宋体" w:hAnsi="宋体"/>
          <w:sz w:val="21"/>
        </w:rPr>
        <w:t xml:space="preserve"> 郭成根等．【待补：文献题名、期刊、年份】．系统综述，纳入53篇文献、24.6万名受试者．</w:t>
      </w:r>
    </w:p>
  </w:footnote>
  <w:footnote w:id="3">
    <w:p>
      <w:pPr>
        <w:spacing w:after="0" w:line="240" w:lineRule="auto"/>
      </w:pPr>
      <w:r>
        <w:rPr>
          <w:rFonts w:ascii="宋体" w:eastAsia="宋体" w:hAnsi="宋体"/>
          <w:sz w:val="21"/>
        </w:rPr>
        <w:footnoteRef/>
      </w:r>
      <w:r>
        <w:rPr>
          <w:rFonts w:ascii="宋体" w:eastAsia="宋体" w:hAnsi="宋体"/>
          <w:sz w:val="21"/>
        </w:rPr>
        <w:t xml:space="preserve"> 王耀东等．【待补：文献题名、期刊、年份】．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