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 w:val="0"/>
          <w:sz w:val="44"/>
        </w:rPr>
        <w:t>以动代屏护童健　青春跃动筑梦行</w:t>
      </w:r>
    </w:p>
    <w:p>
      <w:pPr>
        <w:spacing w:after="120"/>
        <w:jc w:val="center"/>
      </w:pPr>
      <w:r>
        <w:rPr>
          <w:rFonts w:ascii="楷体" w:hAnsi="楷体" w:eastAsia="楷体"/>
          <w:b w:val="0"/>
          <w:sz w:val="32"/>
        </w:rPr>
        <w:t>——“童健韶华”志愿服务队暑期“三下乡”社会实践报告</w:t>
      </w:r>
    </w:p>
    <w:p>
      <w:pPr>
        <w:spacing w:after="40"/>
        <w:jc w:val="center"/>
      </w:pPr>
      <w:r>
        <w:rPr>
          <w:rFonts w:ascii="楷体" w:hAnsi="楷体" w:eastAsia="楷体"/>
          <w:b w:val="0"/>
          <w:sz w:val="28"/>
        </w:rPr>
        <w:t>山东药品食品职业学院质量管理系“童健韶华”志愿服务队</w:t>
      </w:r>
    </w:p>
    <w:p>
      <w:pPr>
        <w:spacing w:after="40"/>
        <w:jc w:val="center"/>
      </w:pPr>
      <w:r>
        <w:rPr>
          <w:rFonts w:ascii="楷体" w:hAnsi="楷体" w:eastAsia="楷体"/>
          <w:b w:val="0"/>
          <w:sz w:val="28"/>
        </w:rPr>
        <w:t>（阎宗宁、祝鸣轩、李响、郭亦彤、陈虹宇、段文烁）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一、项目缘起：从一次体测到一次出发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（一）身边之问：体测为什么抓得这么严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2026年6月，学院团委暑期“三下乡”通知下发，“童健韶华”志愿服务队组建。选题时，大家盯上了一件日常小事：学校对体质健康测试的要求格外严——项目一项不少、标准一分不降，成绩直接与评优挂钩。学校为什么在体测上这么较真？带着这个疑问，我们开始查政策、翻文献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（二）政策已定调，现实仍有落差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</w:r>
      <w:r>
        <w:rPr>
          <w:rFonts w:ascii="仿宋_GB2312" w:hAnsi="仿宋_GB2312" w:eastAsia="仿宋_GB2312"/>
          <w:b w:val="0"/>
          <w:sz w:val="32"/>
        </w:rPr>
        <w:t>一查才发现，体测之“严”不是学校自定，而是国家意志在校园的落点：《“健康中国2030”规划纲要》设定“学生体质健康达标优秀率达25%以上”的目标；《体育强国建设“十五五”规划》《全民健身计划（2026—2030年）》（国发〔2026〕26号）要求保障学生每天综合体育活动时间、推动体育资源向基层下沉。但现实并不乐观——我国学生耐力、速度、力量与肺活量呈下降趋势，肥胖与超重检出率上升</w:t>
      </w:r>
      <w:r>
        <w:rPr>
          <w:vertAlign w:val="superscript"/>
          <w:sz w:val="32"/>
        </w:rPr>
        <w:footnoteReference w:id="1"/>
      </w:r>
      <w:r>
        <w:rPr>
          <w:rFonts w:ascii="仿宋_GB2312" w:hAnsi="仿宋_GB2312" w:eastAsia="仿宋_GB2312"/>
          <w:b w:val="0"/>
          <w:sz w:val="32"/>
        </w:rPr>
        <w:t>；基层还横着场地不足、专业指导缺位、家庭观念偏差三道坎，政策红利难以落到孩子身上。据此，服务队决定以“三下乡”为载体，把落点放在社区，用“以动代屏”做一次可复制的干预。【待核验：请补充山东省政策文件的准确名称与文号】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二、调研设计：问卷、数据与文献依据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（一）问卷与访谈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我们采用“问卷+访谈”混合设计：家长卷15题，覆盖运动时长、屏幕使用、家长观念与行为、安全顾虑四个维度；社工卷15题，聚焦环境设施、活动供给与协同难点。调研在张村镇三个社区推进——黄家皂幼儿园借接送时段座谈并发卷，蓝海、西海社区联合社区工作者入户走访、院落宣讲收集问卷并开展深度访谈，同时用问卷星线上推送。共回收家长卷200份、社工卷25份，按“关键题漏答、前后矛盾、规律作答”三条剔除无效卷后，家长卷有效183份（91.5%）、社工卷有效24份（96.0%）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（二）文献依据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</w:r>
      <w:r>
        <w:rPr>
          <w:rFonts w:ascii="仿宋_GB2312" w:hAnsi="仿宋_GB2312" w:eastAsia="仿宋_GB2312"/>
          <w:b w:val="0"/>
          <w:sz w:val="32"/>
        </w:rPr>
        <w:t>动手之前先读了三份研究，为问题定位：</w:t>
      </w:r>
      <w:r>
        <w:rPr>
          <w:rFonts w:ascii="仿宋_GB2312" w:hAnsi="仿宋_GB2312" w:eastAsia="仿宋_GB2312"/>
          <w:b w:val="0"/>
          <w:sz w:val="32"/>
        </w:rPr>
        <w:t>毛振明等指出，我国学生耐力、速度、力量与肺活量下降、肥胖与超重检出率上升，并揭示体质测量、分析、干预三个环节“不精准”的症结</w:t>
      </w:r>
      <w:r>
        <w:rPr>
          <w:vertAlign w:val="superscript"/>
          <w:sz w:val="32"/>
        </w:rPr>
        <w:footnoteReference w:id="1"/>
      </w:r>
      <w:r>
        <w:rPr>
          <w:rFonts w:ascii="仿宋_GB2312" w:hAnsi="仿宋_GB2312" w:eastAsia="仿宋_GB2312"/>
          <w:b w:val="0"/>
          <w:sz w:val="32"/>
        </w:rPr>
        <w:t>；郭成根等的系统综述（纳入53篇文献、245 777名受试者）显示，儿童青少年运动缺乏症与人口统计学和生物学、心理认知和情感、行为特征和技能、社会和文化、物理环境五类因素有关，其中父母支持与参与、榜样作用、学校环境与体育设施可用性证据一致性最高，是可干预的关键切入点</w:t>
      </w:r>
      <w:r>
        <w:rPr>
          <w:vertAlign w:val="superscript"/>
          <w:sz w:val="32"/>
        </w:rPr>
        <w:footnoteReference w:id="2"/>
      </w:r>
      <w:r>
        <w:rPr>
          <w:rFonts w:ascii="仿宋_GB2312" w:hAnsi="仿宋_GB2312" w:eastAsia="仿宋_GB2312"/>
          <w:b w:val="0"/>
          <w:sz w:val="32"/>
        </w:rPr>
        <w:t>；王耀东等提出“校家社协同以体育人”，强调落实“中小学生每天综合体育活动时间不低于2小时”，同时指出现实中面临场域失衡、资本传递不畅、体育惯习偏误</w:t>
      </w:r>
      <w:r>
        <w:rPr>
          <w:vertAlign w:val="superscript"/>
          <w:sz w:val="32"/>
        </w:rPr>
        <w:footnoteReference w:id="3"/>
      </w:r>
      <w:r>
        <w:rPr>
          <w:rFonts w:ascii="仿宋_GB2312" w:hAnsi="仿宋_GB2312" w:eastAsia="仿宋_GB2312"/>
          <w:b w:val="0"/>
          <w:sz w:val="32"/>
        </w:rPr>
        <w:t>。三份研究指向同一结论：体质问题单靠学校一端解决不了，社区是校家社协同最薄弱的一环——这正是我们把落点放在社区的依据。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（三）三个关键发现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一是孩子不是不想动，是时间被屏幕拿走了。运动时间1小时以内的占41.0%、1—2小时占36.6%，2小时以上不足四分之一；日均屏幕时间2小时以上的达68.3%；社工卷中户外不足30分钟的占41.7%。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二是家长的观念还停在分数上。37.7%把成绩列为首要关注，仅36.1%优先发展体育兴趣；65.0%习惯“写完作业才能出去玩”；26.2%从未给孩子制定过锻炼计划。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三是基层最缺的是有人教。64.0%因担心安全而限制强度，场地“不足或偏紧”合计45.8%；家长监督困难的首位是“缺乏专业指导”（21.9%），38.8%把“缺知识和方法”列为最大障碍。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三、实践过程：以动代屏，让孩子重新认识“健康”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调研之后先想清楚一件事：怎样不让服务沦为“换个社区就跑不动”？答案是模块化——“一套模板、两个模块、三场落地”。模板即“问卷调研—模块组合—现场实施—效果追踪”闭环，进任何社区都不必从零设计。灵活组合的意义正在于适配：场地大的开运动会，场地小的只上宣讲，资源综合的双模块叠加，因点施策、各展所长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（一）模块一：网络沉迷宣讲——把“为什么放下手机”讲明白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缘起于“屏幕挤占运动”这一发现。以动代屏不是禁网，而是先让孩子想明白为何放下屏幕。我们设计“真正的大神，从不被屏幕绑架”课件，用“网络红绿灯”“健康用网契约”等游戏化形式，把防沉迷讲到孩子心里，并把约定延伸到家庭日常。该模块在黄家皂幼儿园以四十分钟短课时落地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（二）模块二：趣味运动会——让孩子在奔跑中重新认识身体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讲道理不够，还得让孩子尝到动起来的快乐。跳房子、接力赛跑、沙包投掷、障碍闯关，低门槛、不竞技，人人能上场。孩子们跑得满头大汗——很多孩子第一次发现，不盯屏幕也能这么开心。身体给的真实愉悦，是替代虚拟吸引力最好的答案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（三）三场落地：因点施策进社区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2026年7月2日至8日，我们走进张村镇三个点位：黄家皂幼儿园场地受限、儿童低龄，单上宣讲；蓝海社区场地开阔，完整开展运动会；西海社区资源综合，宣讲与运动双模块叠加。同一套模板，三处各展所长。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（四）AI赋能：把“教练”送到家长身边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家长那句“缺教练、不知怎么教”，我们记在心里；政策也给了方向——《全民健身计划（2026—2030年）》明确“运用人工智能赋能全民健身发展”。两头一对接，就有了AI实践：自研“童健韶华·AI健康成长助手”，填年龄、身高、体重即生成BMI评估与11天运动计划，并评估屏幕依赖程度；同时推出“个人AI教练”，记录训练与身体数据、给出个性建议，数据仅存本地。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四、实践成效与开源推广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（一）现场成效：健康意识被重新点亮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三处点位覆盖百余名儿童及家庭。变化先发生在认知上：课堂上，孩子主动说出“屏幕时间”这个词；运动场上，原本观望的孩子也跑了起来。课堂补观念、运动补行为、AI补专业指导，合起来就是让孩子重新意识到——健康的体质才是自己最该在意的事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（二）后期回访：变化在延续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回访中，社区与家长的反馈很具体：孩子手机、平板使用时间下降，户外时间相应增多，部分家庭开始安排固定运动时段，家长也从“旁观者”变成了“参与者”。【待补：请补充具体比例、样本量与时间节点】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（三）开源共享：让方法走出小圈子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几天实践只是起点。我们把AI助手、个人AI教练及配套课件、运动方案全部开源到GitHub，把一次性服务沉淀成可复用、可改进的开放成果，让“以动代屏”突破地域与时间的限制，推广到更多社区。相关纪实投稿“中青校园·三下乡”并获通过，抖音、B站、微信公众号同步发布，浏览量逾1万。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五、结语：一堂行走的大思政课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对六名队员而言，这是一堂行走的大思政课。“健康中国”不是口号，是一次体测、一份问卷、一场运动会、一份被认真写下的运动计划；志愿服务也不是合影，而是蹲下来听孩子说话、陪他们跑完一程。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基层难题仍在：观念转得慢、师资紧、场地偏。下一步，我们将持续对接威海涉农社区与乡村幼儿园，推动开源资源利用与AI赋能，紧扣“健康中国2030”“全民健身”指引，把这套可复制的方法推向更大范围。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以动代屏，让青春跃动；护童健，我们一直在路上。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spacing w:after="0" w:line="240" w:lineRule="auto"/>
      </w:pPr>
      <w:r>
        <w:rPr>
          <w:rFonts w:ascii="宋体" w:eastAsia="宋体" w:hAnsi="宋体"/>
          <w:sz w:val="21"/>
        </w:rPr>
        <w:footnoteRef/>
      </w:r>
      <w:r>
        <w:rPr>
          <w:rFonts w:ascii="宋体" w:eastAsia="宋体" w:hAnsi="宋体"/>
          <w:sz w:val="21"/>
        </w:rPr>
        <w:t xml:space="preserve"> 毛振明，查萍，丁天翠，等．学生体质测量、分析与干预不精准：问题与应对[J]．上海体育大学学报，2024，48（10）：1-8．</w:t>
      </w:r>
    </w:p>
  </w:footnote>
  <w:footnote w:id="2">
    <w:p>
      <w:pPr>
        <w:spacing w:after="0" w:line="240" w:lineRule="auto"/>
      </w:pPr>
      <w:r>
        <w:rPr>
          <w:rFonts w:ascii="宋体" w:eastAsia="宋体" w:hAnsi="宋体"/>
          <w:sz w:val="21"/>
        </w:rPr>
        <w:footnoteRef/>
      </w:r>
      <w:r>
        <w:rPr>
          <w:rFonts w:ascii="宋体" w:eastAsia="宋体" w:hAnsi="宋体"/>
          <w:sz w:val="21"/>
        </w:rPr>
        <w:t xml:space="preserve"> 郭成根，柳鸣毅，郑湘平，等．儿童青少年运动缺乏症影响因素研究系统综述[J]．中国公共卫生，2025，41（5）：620-626．</w:t>
      </w:r>
    </w:p>
  </w:footnote>
  <w:footnote w:id="3">
    <w:p>
      <w:pPr>
        <w:spacing w:after="0" w:line="240" w:lineRule="auto"/>
      </w:pPr>
      <w:r>
        <w:rPr>
          <w:rFonts w:ascii="宋体" w:eastAsia="宋体" w:hAnsi="宋体"/>
          <w:sz w:val="21"/>
        </w:rPr>
        <w:footnoteRef/>
      </w:r>
      <w:r>
        <w:rPr>
          <w:rFonts w:ascii="宋体" w:eastAsia="宋体" w:hAnsi="宋体"/>
          <w:sz w:val="21"/>
        </w:rPr>
        <w:t xml:space="preserve"> 王耀东，张慧颖．强国建设视域下校家社以体育人的协同路径研究[J]．体育科学，2026，46（1）：12-23．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