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通知下发，“童健韶华”志愿服务队组建。选题阶段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（二）政策已定调，现实仍有落差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儿童日常运动时间集中在1小时以内（41.0%）与1—2小时（36.6%），达到2小时以上的不足四分之一，而日均屏幕时间在2小时以上的达68.3%，社工卷中辖区儿童日均户外活动不足30分钟的占41.7%，屏幕时间对户外活动的挤压较为明显。家长层面，37.7%将成绩提升列为首要关注，仅36.1%优先发展孩子的体育兴趣，65.0%习惯以“写完作业才能出去玩”为前提，26.2%从未为孩子制定过锻炼计划。社区层面，64.0%的家长因担心运动安全而限制孩子活动强度，运动场地“不足或偏紧”的合计占45.8%；家长反映的监督困难中，首位为“缺乏专业指导、不知如何监督”（21.9%），38.8%将“缺乏知识和方法”列为最大障碍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为避免服务流于一次性活动，服务队确立“一套模板、两个模块、三场落地”的实施思路。模板包含“问卷调研、模块组合、现场实施、效果追踪”四个环节，进入任一社区均不必从零设计；两个模块为宣讲模块与运动会模块，可按社区实际条件独立组合：场地开阔的完整开展运动会，场地受限的仅开展宣讲，条件综合的叠加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服务队在社区设置跳房子、接力赛跑、沙包投掷、障碍闯关等项目，坚持低门槛、非竞技原则，确保每位儿童均可参与，以线下运动替代屏幕时间。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2026年7月2日至8日，服务队在张村镇三个点位开展实践：黄家皂幼儿园场地受限、儿童低龄，开展宣讲模块；蓝海社区场地开阔，开展运动会模块；西海社区条件综合，两个模块叠加实施。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（四）AI赋能：补充基层专业指导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下一步，服务队将持续对接威海涉农社区与乡村幼儿园，推动开源资源利用与AI赋能，紧扣“健康中国2030”“全民健身”等政策指引，逐步扩大该方法的实施范围。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