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社会实践通知下发，“童健韶华”志愿服务队组建。选题阶段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最突出的矛盾是屏幕时间对运动时间的挤压：儿童日均运动时间达到2小时以上的不足四分之一，而屏幕时间在2小时以上的达68.3%，社工卷中辖区儿童日均户外不足30分钟的占41.7%。其余方面较为集中：家长层面重学业、轻体育，仅36.1%优先发展孩子体育兴趣；社区层面运动场地“不足或偏紧”合计占45.8%，家长反映的最大障碍是“缺乏专业指导与科学方法”（38.8%）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服务队在社区设置跳房子、接力赛跑、沙包投掷、障碍闯关等项目，坚持低门槛、非竞技原则，确保每位儿童均可参与，以线下运动替代屏幕时间。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（四）三场落地情况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2026年7月2日至8日，服务队在张村镇三个点位开展实践：黄家皂幼儿园场地受限、儿童低龄，开展宣讲模块；蓝海社区场地开阔，开展运动会模块；西海社区条件综合，两个模块叠加实施。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