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560" w:lineRule="exact"/>
        <w:ind w:firstLine="0"/>
        <w:jc w:val="center"/>
        <w:textAlignment w:val="auto"/>
      </w:pPr>
      <w:r>
        <w:rPr>
          <w:rFonts w:ascii="黑体" w:hAnsi="黑体" w:eastAsia="黑体"/>
          <w:b/>
          <w:sz w:val="40"/>
        </w:rPr>
        <w:t>以动代屏护童健　青春跃动筑梦行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40" w:line="560" w:lineRule="exact"/>
        <w:ind w:firstLine="0"/>
        <w:jc w:val="center"/>
        <w:textAlignment w:val="auto"/>
      </w:pPr>
      <w:r>
        <w:rPr>
          <w:rFonts w:ascii="黑体" w:hAnsi="黑体" w:eastAsia="黑体"/>
          <w:b w:val="0"/>
          <w:sz w:val="28"/>
        </w:rPr>
        <w:t>——“童健韶华”志愿服务队暑期“三下乡”社会实践报告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80" w:line="560" w:lineRule="exact"/>
        <w:ind w:firstLine="0"/>
        <w:jc w:val="center"/>
        <w:textAlignment w:val="auto"/>
      </w:pPr>
      <w:r>
        <w:rPr>
          <w:rFonts w:ascii="楷体_GB2312" w:hAnsi="楷体_GB2312" w:eastAsia="楷体_GB2312"/>
          <w:sz w:val="32"/>
        </w:rPr>
        <w:t>山东药品食品职业学院质量管理系</w:t>
      </w:r>
      <w:r>
        <w:rPr>
          <w:rFonts w:hint="eastAsia" w:ascii="楷体_GB2312" w:hAnsi="楷体_GB2312" w:eastAsia="楷体_GB2312"/>
          <w:sz w:val="32"/>
          <w:lang w:eastAsia="zh-CN"/>
        </w:rPr>
        <w:t>——</w:t>
      </w:r>
      <w:r>
        <w:rPr>
          <w:rFonts w:ascii="楷体_GB2312" w:hAnsi="楷体_GB2312" w:eastAsia="楷体_GB2312"/>
          <w:sz w:val="32"/>
        </w:rPr>
        <w:t>“童健韶华”志愿服务队（阎宗宁</w:t>
      </w:r>
      <w:r>
        <w:rPr>
          <w:rFonts w:hint="eastAsia" w:ascii="楷体_GB2312" w:hAnsi="楷体_GB2312" w:eastAsia="楷体_GB2312"/>
          <w:sz w:val="32"/>
        </w:rPr>
        <w:t>202502010105</w:t>
      </w:r>
      <w:r>
        <w:rPr>
          <w:rFonts w:ascii="楷体_GB2312" w:hAnsi="楷体_GB2312" w:eastAsia="楷体_GB2312"/>
          <w:sz w:val="32"/>
        </w:rPr>
        <w:t>、祝鸣轩</w:t>
      </w:r>
      <w:r>
        <w:rPr>
          <w:rFonts w:hint="eastAsia" w:ascii="楷体_GB2312" w:hAnsi="楷体_GB2312" w:eastAsia="楷体_GB2312"/>
          <w:sz w:val="32"/>
        </w:rPr>
        <w:t>202502010141</w:t>
      </w:r>
      <w:r>
        <w:rPr>
          <w:rFonts w:ascii="楷体_GB2312" w:hAnsi="楷体_GB2312" w:eastAsia="楷体_GB2312"/>
          <w:sz w:val="32"/>
        </w:rPr>
        <w:t>、李响</w:t>
      </w:r>
      <w:r>
        <w:rPr>
          <w:rFonts w:hint="eastAsia" w:ascii="楷体_GB2312" w:hAnsi="楷体_GB2312" w:eastAsia="楷体_GB2312"/>
          <w:sz w:val="32"/>
        </w:rPr>
        <w:t>202502010128</w:t>
      </w:r>
      <w:r>
        <w:rPr>
          <w:rFonts w:hint="eastAsia" w:ascii="楷体_GB2312" w:hAnsi="楷体_GB2312" w:eastAsia="楷体_GB2312"/>
          <w:sz w:val="32"/>
          <w:lang w:eastAsia="zh-CN"/>
        </w:rPr>
        <w:t>、</w:t>
      </w:r>
      <w:r>
        <w:rPr>
          <w:rFonts w:hint="eastAsia" w:ascii="楷体_GB2312" w:hAnsi="楷体_GB2312" w:eastAsia="楷体_GB2312"/>
          <w:sz w:val="32"/>
        </w:rPr>
        <w:t>郭亦彤202502040239</w:t>
      </w:r>
      <w:r>
        <w:rPr>
          <w:rFonts w:hint="eastAsia" w:ascii="楷体_GB2312" w:hAnsi="楷体_GB2312" w:eastAsia="楷体_GB2312"/>
          <w:sz w:val="32"/>
          <w:lang w:eastAsia="zh-CN"/>
        </w:rPr>
        <w:t>、</w:t>
      </w:r>
      <w:r>
        <w:rPr>
          <w:rFonts w:hint="eastAsia" w:ascii="楷体_GB2312" w:hAnsi="楷体_GB2312" w:eastAsia="楷体_GB2312"/>
          <w:sz w:val="32"/>
        </w:rPr>
        <w:t>陈虹宇202502050305</w:t>
      </w:r>
      <w:r>
        <w:rPr>
          <w:rFonts w:hint="eastAsia" w:ascii="楷体_GB2312" w:hAnsi="楷体_GB2312" w:eastAsia="楷体_GB2312"/>
          <w:sz w:val="32"/>
          <w:lang w:eastAsia="zh-CN"/>
        </w:rPr>
        <w:t>、</w:t>
      </w:r>
      <w:r>
        <w:rPr>
          <w:rFonts w:hint="eastAsia" w:ascii="楷体_GB2312" w:hAnsi="楷体_GB2312" w:eastAsia="楷体_GB2312"/>
          <w:sz w:val="32"/>
        </w:rPr>
        <w:t>段文烁202502040208</w:t>
      </w:r>
      <w:r>
        <w:rPr>
          <w:rFonts w:ascii="楷体_GB2312" w:hAnsi="楷体_GB2312" w:eastAsia="楷体_GB2312"/>
          <w:sz w:val="32"/>
        </w:rPr>
        <w:t>）</w:t>
      </w:r>
    </w:p>
    <w:p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560" w:lineRule="exact"/>
        <w:ind w:firstLine="0"/>
        <w:jc w:val="left"/>
        <w:textAlignment w:val="auto"/>
        <w:rPr>
          <w:rFonts w:ascii="黑体" w:hAnsi="黑体" w:eastAsia="黑体"/>
          <w:b/>
          <w:sz w:val="32"/>
        </w:rPr>
      </w:pPr>
      <w:r>
        <w:rPr>
          <w:rFonts w:ascii="黑体" w:hAnsi="黑体" w:eastAsia="黑体"/>
          <w:b/>
          <w:sz w:val="32"/>
        </w:rPr>
        <w:t>实践背景与目的</w:t>
      </w:r>
    </w:p>
    <w:p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80" w:afterAutospacing="0" w:line="560" w:lineRule="exact"/>
        <w:ind w:left="0" w:right="0" w:firstLine="640"/>
        <w:jc w:val="left"/>
        <w:textAlignment w:val="auto"/>
      </w:pPr>
      <w:r>
        <w:rPr>
          <w:rFonts w:ascii="仿宋_GB2312" w:eastAsia="仿宋_GB2312" w:cs="仿宋_GB2312"/>
          <w:b w:val="0"/>
          <w:bCs w:val="0"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2026年6月，院团委暑期</w:t>
      </w:r>
      <w:r>
        <w:rPr>
          <w:rFonts w:hint="eastAsia" w:ascii="仿宋_GB2312" w:eastAsia="仿宋_GB2312" w:cs="仿宋_GB2312"/>
          <w:b w:val="0"/>
          <w:bCs w:val="0"/>
          <w:i w:val="0"/>
          <w:iCs w:val="0"/>
          <w:color w:val="000000"/>
          <w:spacing w:val="0"/>
          <w:w w:val="100"/>
          <w:sz w:val="32"/>
          <w:szCs w:val="32"/>
          <w:vertAlign w:val="baseline"/>
          <w:lang w:eastAsia="zh-CN"/>
        </w:rPr>
        <w:t>“</w:t>
      </w:r>
      <w:r>
        <w:rPr>
          <w:rFonts w:ascii="仿宋_GB2312" w:eastAsia="仿宋_GB2312" w:cs="仿宋_GB2312"/>
          <w:b w:val="0"/>
          <w:bCs w:val="0"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三下乡</w:t>
      </w:r>
      <w:r>
        <w:rPr>
          <w:rFonts w:hint="eastAsia" w:ascii="仿宋_GB2312" w:eastAsia="仿宋_GB2312" w:cs="仿宋_GB2312"/>
          <w:b w:val="0"/>
          <w:bCs w:val="0"/>
          <w:i w:val="0"/>
          <w:iCs w:val="0"/>
          <w:color w:val="000000"/>
          <w:spacing w:val="0"/>
          <w:w w:val="100"/>
          <w:sz w:val="32"/>
          <w:szCs w:val="32"/>
          <w:vertAlign w:val="baseline"/>
          <w:lang w:eastAsia="zh-CN"/>
        </w:rPr>
        <w:t>”</w:t>
      </w:r>
      <w:r>
        <w:rPr>
          <w:rFonts w:ascii="仿宋_GB2312" w:eastAsia="仿宋_GB2312" w:cs="仿宋_GB2312"/>
          <w:b w:val="0"/>
          <w:bCs w:val="0"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社会实践的通知正式下发，</w:t>
      </w:r>
      <w:r>
        <w:rPr>
          <w:rFonts w:hint="eastAsia" w:ascii="仿宋_GB2312" w:eastAsia="仿宋_GB2312" w:cs="仿宋_GB2312"/>
          <w:b w:val="0"/>
          <w:bCs w:val="0"/>
          <w:i w:val="0"/>
          <w:iCs w:val="0"/>
          <w:color w:val="000000"/>
          <w:spacing w:val="0"/>
          <w:w w:val="100"/>
          <w:sz w:val="32"/>
          <w:szCs w:val="32"/>
          <w:vertAlign w:val="baseline"/>
          <w:lang w:eastAsia="zh-CN"/>
        </w:rPr>
        <w:t>“</w:t>
      </w:r>
      <w:r>
        <w:rPr>
          <w:rFonts w:ascii="仿宋_GB2312" w:eastAsia="仿宋_GB2312" w:cs="仿宋_GB2312"/>
          <w:b w:val="0"/>
          <w:bCs w:val="0"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童健韶华</w:t>
      </w:r>
      <w:r>
        <w:rPr>
          <w:rFonts w:hint="eastAsia" w:ascii="仿宋_GB2312" w:eastAsia="仿宋_GB2312" w:cs="仿宋_GB2312"/>
          <w:b w:val="0"/>
          <w:bCs w:val="0"/>
          <w:i w:val="0"/>
          <w:iCs w:val="0"/>
          <w:color w:val="000000"/>
          <w:spacing w:val="0"/>
          <w:w w:val="100"/>
          <w:sz w:val="32"/>
          <w:szCs w:val="32"/>
          <w:vertAlign w:val="baseline"/>
          <w:lang w:eastAsia="zh-CN"/>
        </w:rPr>
        <w:t>”</w:t>
      </w:r>
      <w:r>
        <w:rPr>
          <w:rFonts w:ascii="仿宋_GB2312" w:eastAsia="仿宋_GB2312" w:cs="仿宋_GB2312"/>
          <w:b w:val="0"/>
          <w:bCs w:val="0"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志愿服务队随即组建。然而在项目启动之初，萦绕在每一位队员心头的并非兴奋，而是一个沉甸甸的追问：三下乡，我们究竟能做成什么？又能真正为这些孩子留下什么？</w:t>
      </w:r>
    </w:p>
    <w:p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80" w:afterAutospacing="0" w:line="560" w:lineRule="exact"/>
        <w:ind w:left="0" w:right="0" w:firstLine="640"/>
        <w:jc w:val="left"/>
        <w:textAlignment w:val="auto"/>
      </w:pPr>
      <w:r>
        <w:rPr>
          <w:rFonts w:hint="default" w:ascii="仿宋_GB2312" w:eastAsia="仿宋_GB2312" w:cs="仿宋_GB2312"/>
          <w:b w:val="0"/>
          <w:bCs w:val="0"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团队不愿把这次实践办成几场匆匆而来、草草收场的活动——拍几张合影、写一篇推文，热闹过后什么也没有留下。我们反复追问自己：抛开形式，孩子们真正缺少的，到底是什么？</w:t>
      </w:r>
    </w:p>
    <w:p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80" w:afterAutospacing="0" w:line="560" w:lineRule="exact"/>
        <w:ind w:left="0" w:right="0" w:firstLine="640"/>
        <w:jc w:val="left"/>
        <w:textAlignment w:val="auto"/>
      </w:pPr>
      <w:r>
        <w:rPr>
          <w:rFonts w:hint="default" w:ascii="仿宋_GB2312" w:eastAsia="仿宋_GB2312" w:cs="仿宋_GB2312"/>
          <w:b w:val="0"/>
          <w:bCs w:val="0"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带着这份清醒，团队没有停留在纸面设想，而是选择脚踏实地地走进现场：进社区、进学校，走到孩子和家长身边，去寻找答案。正是在这一次次走访与观察中，一个普遍而尖锐的事实逐渐清晰——青少年的体质，正在逐年下滑。</w:t>
      </w:r>
    </w:p>
    <w:p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80" w:afterAutospacing="0" w:line="560" w:lineRule="exact"/>
        <w:ind w:left="0" w:right="0" w:firstLine="640"/>
        <w:jc w:val="left"/>
        <w:textAlignment w:val="auto"/>
        <w:rPr>
          <w:rFonts w:ascii="黑体" w:hAnsi="黑体" w:eastAsia="黑体"/>
          <w:b/>
          <w:sz w:val="32"/>
        </w:rPr>
      </w:pPr>
      <w:r>
        <w:rPr>
          <w:rFonts w:hint="default" w:ascii="仿宋_GB2312" w:eastAsia="仿宋_GB2312" w:cs="仿宋_GB2312"/>
          <w:b w:val="0"/>
          <w:bCs w:val="0"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这份亲眼所见的触动，成为整个项目的起点，也构成了本次实践最原初的初心。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560" w:lineRule="exact"/>
        <w:ind w:firstLine="0"/>
        <w:jc w:val="left"/>
        <w:textAlignment w:val="auto"/>
      </w:pPr>
      <w:r>
        <w:rPr>
          <w:rFonts w:ascii="楷体_GB2312" w:hAnsi="楷体_GB2312" w:eastAsia="楷体_GB2312"/>
          <w:sz w:val="32"/>
        </w:rPr>
        <w:t>（一）政策与理论基础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560" w:lineRule="exact"/>
        <w:ind w:firstLine="640"/>
        <w:jc w:val="left"/>
        <w:textAlignment w:val="auto"/>
      </w:pPr>
      <w:r>
        <w:rPr>
          <w:rFonts w:ascii="仿宋_GB2312" w:hAnsi="仿宋_GB2312" w:eastAsia="仿宋_GB2312"/>
          <w:sz w:val="32"/>
        </w:rPr>
        <w:t>青少年体质健康是“健康中国2030”战略落地的关键基石。毛振明等指出，我国学生耐力、速度、力量与肺活量呈下降趋势，肥胖与超重检出率上升，“健康中国2030”规划明确提出“学生体质健康达标优秀率达25%以上”的可量化目标；王耀东等提出“校家社协同以体育人”路径，强调落实中小学生每天综合体育活动时间不低于2小时，但现实中仍面临场域失衡、资本传递不畅与体育惯习偏误。郭成根等的系统综述纳入53篇文献、24.6万名受试者，证实父母支持与参与、榜样作用、学校环境与体育设施可用性同儿童运动缺乏呈负相关，而久坐行为与学业压力则是重要风险因子。何玲玲、孙朋等进一步揭示，“双减”政策虽释放了体育时间，但家庭与社区层面的观念偏差使政策红利未能充分转化为体质提升。上述研究共同指向一个结论：儿童体质问题须以“学校—家庭—社区”协同干预方能破题。</w:t>
      </w:r>
    </w:p>
    <w:p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560" w:lineRule="exact"/>
        <w:ind w:firstLine="0"/>
        <w:jc w:val="left"/>
        <w:textAlignment w:val="auto"/>
        <w:rPr>
          <w:rFonts w:ascii="楷体_GB2312" w:hAnsi="楷体_GB2312" w:eastAsia="楷体_GB2312"/>
          <w:sz w:val="32"/>
        </w:rPr>
      </w:pPr>
      <w:r>
        <w:rPr>
          <w:rFonts w:ascii="楷体_GB2312" w:hAnsi="楷体_GB2312" w:eastAsia="楷体_GB2312"/>
          <w:sz w:val="32"/>
        </w:rPr>
        <w:t>现实痛点与调研缘起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560" w:lineRule="exact"/>
        <w:ind w:firstLine="640"/>
        <w:jc w:val="left"/>
        <w:textAlignment w:val="auto"/>
        <w:rPr>
          <w:rFonts w:hint="default" w:ascii="仿宋_GB2312" w:hAnsi="仿宋_GB2312" w:eastAsia="仿宋_GB2312"/>
          <w:sz w:val="32"/>
        </w:rPr>
      </w:pPr>
      <w:r>
        <w:rPr>
          <w:rFonts w:hint="default" w:ascii="仿宋_GB2312" w:hAnsi="仿宋_GB2312" w:eastAsia="仿宋_GB2312"/>
          <w:sz w:val="32"/>
        </w:rPr>
        <w:t>文献的结论终究是别人的观察，要真正摸清乡土实践中的痛点，必须回到现场、用数据说话。为此，服务队在威海城郊乡镇与涉农社区开展前期实地走访，结合相关文献资料与一线走访所得，自主设计了两份问卷：一份面向家长，即"中小学生体质健康管理现状调查问卷（家长卷）"；一份面向社区工作者，即"社区工作者儿童体质促进问卷（社工卷）"。我们力求以多个视角、多条线索来研判同一问题——家长身处家庭场景、最了解孩子的日常习惯，社区工作者立足辖区全局、更清楚公共环境与资源的短板，两种视角交叉印证，才能避免"盲人摸象"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560" w:lineRule="exact"/>
        <w:ind w:firstLine="640"/>
        <w:jc w:val="left"/>
        <w:textAlignment w:val="auto"/>
        <w:rPr>
          <w:rFonts w:hint="eastAsia" w:ascii="仿宋_GB2312" w:hAnsi="仿宋_GB2312" w:eastAsia="仿宋_GB2312"/>
          <w:sz w:val="32"/>
          <w:lang w:eastAsia="zh-CN"/>
        </w:rPr>
      </w:pPr>
      <w:r>
        <w:rPr>
          <w:rFonts w:hint="default" w:ascii="仿宋_GB2312" w:hAnsi="仿宋_GB2312" w:eastAsia="仿宋_GB2312"/>
          <w:sz w:val="32"/>
        </w:rPr>
        <w:t>带着这样的设计思路，我们走进威海市张村镇三个社区开展实地调研</w:t>
      </w:r>
      <w:r>
        <w:rPr>
          <w:rFonts w:hint="eastAsia" w:ascii="仿宋_GB2312" w:hAnsi="仿宋_GB2312" w:eastAsia="仿宋_GB2312"/>
          <w:sz w:val="32"/>
          <w:lang w:eastAsia="zh-CN"/>
        </w:rPr>
        <w:t>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560" w:lineRule="exact"/>
        <w:ind w:firstLine="0"/>
        <w:jc w:val="left"/>
        <w:textAlignment w:val="auto"/>
      </w:pPr>
      <w:r>
        <w:rPr>
          <w:rFonts w:ascii="黑体" w:hAnsi="黑体" w:eastAsia="黑体"/>
          <w:b/>
          <w:sz w:val="32"/>
        </w:rPr>
        <w:t>二、调研设计与实施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560" w:lineRule="exact"/>
        <w:ind w:firstLine="640"/>
        <w:jc w:val="left"/>
        <w:textAlignment w:val="auto"/>
      </w:pPr>
      <w:r>
        <w:rPr>
          <w:rFonts w:ascii="仿宋_GB2312" w:hAnsi="仿宋_GB2312" w:eastAsia="仿宋_GB2312"/>
          <w:sz w:val="32"/>
        </w:rPr>
        <w:t>本次调研采用“问卷+访谈”混合设计，力求定量数据与定性观察相互补充。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560" w:lineRule="exact"/>
        <w:ind w:firstLine="640"/>
        <w:jc w:val="left"/>
        <w:textAlignment w:val="auto"/>
        <w:rPr>
          <w:rFonts w:hint="default" w:ascii="仿宋_GB2312" w:hAnsi="仿宋_GB2312" w:eastAsia="仿宋_GB2312"/>
          <w:sz w:val="32"/>
        </w:rPr>
      </w:pPr>
      <w:r>
        <w:rPr>
          <w:rFonts w:hint="default" w:ascii="仿宋_GB2312" w:hAnsi="仿宋_GB2312" w:eastAsia="仿宋_GB2312"/>
          <w:sz w:val="32"/>
        </w:rPr>
        <w:t>（一）问卷设计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560" w:lineRule="exact"/>
        <w:ind w:firstLine="640"/>
        <w:jc w:val="left"/>
        <w:textAlignment w:val="auto"/>
        <w:rPr>
          <w:rFonts w:hint="default" w:ascii="仿宋_GB2312" w:hAnsi="仿宋_GB2312" w:eastAsia="仿宋_GB2312"/>
          <w:sz w:val="32"/>
        </w:rPr>
      </w:pPr>
      <w:r>
        <w:rPr>
          <w:rFonts w:hint="default" w:ascii="仿宋_GB2312" w:hAnsi="仿宋_GB2312" w:eastAsia="仿宋_GB2312"/>
          <w:sz w:val="32"/>
        </w:rPr>
        <w:t>家长卷设 15 题，覆盖运动时长、屏幕使用、家长观念与行为、安全顾虑四大维度，并设置逻辑跳转题，减少无效填写；社工卷设 15 题，聚焦社区工作者对辖区儿童体质现状的观察，含环境设施、活动供给与协同难点等维度。两份问卷均经小范围预填与修订，确保表述贴合家长与基层工作者的语言习惯。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560" w:lineRule="exact"/>
        <w:ind w:firstLine="640"/>
        <w:jc w:val="left"/>
        <w:textAlignment w:val="auto"/>
        <w:rPr>
          <w:rFonts w:hint="default" w:ascii="仿宋_GB2312" w:hAnsi="仿宋_GB2312" w:eastAsia="仿宋_GB2312"/>
          <w:sz w:val="32"/>
        </w:rPr>
      </w:pPr>
      <w:r>
        <w:rPr>
          <w:rFonts w:hint="default" w:ascii="仿宋_GB2312" w:hAnsi="仿宋_GB2312" w:eastAsia="仿宋_GB2312"/>
          <w:sz w:val="32"/>
        </w:rPr>
        <w:t>（二）实地实施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560" w:lineRule="exact"/>
        <w:ind w:firstLine="640"/>
        <w:jc w:val="left"/>
        <w:textAlignment w:val="auto"/>
        <w:rPr>
          <w:rFonts w:hint="default" w:ascii="仿宋_GB2312" w:hAnsi="仿宋_GB2312" w:eastAsia="仿宋_GB2312"/>
          <w:sz w:val="32"/>
        </w:rPr>
      </w:pPr>
      <w:r>
        <w:rPr>
          <w:rFonts w:hint="default" w:ascii="仿宋_GB2312" w:hAnsi="仿宋_GB2312" w:eastAsia="仿宋_GB2312"/>
          <w:sz w:val="32"/>
        </w:rPr>
        <w:t>调研于 2026 年 7 月“三下乡”前期集中展开。服务队依托威海市张村镇三个条件各异的社区点位推进：在黄家皂幼儿园，借入园接送时段开展家长座谈与问卷发放；在蓝海社区与西海社区，联合社区工作者通过入户走访、院落宣讲同步收集问卷，并对部分家庭开展深度访谈。为扩大覆盖面，另通过问卷星线上推送，方便不便到场的家长远程填写。执行中，队员逐一说明填答须知、现场答疑，对低龄儿童家庭由家长代填并核对，确保信息真实有效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560" w:lineRule="exact"/>
        <w:ind w:firstLine="640"/>
        <w:jc w:val="left"/>
        <w:textAlignment w:val="auto"/>
        <w:rPr>
          <w:rFonts w:hint="default" w:ascii="仿宋_GB2312" w:hAnsi="仿宋_GB2312" w:eastAsia="仿宋_GB2312"/>
          <w:sz w:val="32"/>
        </w:rPr>
      </w:pPr>
      <w:r>
        <w:rPr>
          <w:rFonts w:hint="default" w:ascii="仿宋_GB2312" w:hAnsi="仿宋_GB2312" w:eastAsia="仿宋_GB2312"/>
          <w:sz w:val="32"/>
        </w:rPr>
        <w:t>（三）样本与质控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560" w:lineRule="exact"/>
        <w:ind w:firstLine="640"/>
        <w:jc w:val="left"/>
        <w:textAlignment w:val="auto"/>
        <w:rPr>
          <w:rFonts w:hint="default" w:ascii="仿宋_GB2312" w:hAnsi="仿宋_GB2312" w:eastAsia="仿宋_GB2312"/>
          <w:sz w:val="32"/>
        </w:rPr>
      </w:pPr>
      <w:r>
        <w:rPr>
          <w:rFonts w:hint="default" w:ascii="仿宋_GB2312" w:hAnsi="仿宋_GB2312" w:eastAsia="仿宋_GB2312"/>
          <w:sz w:val="32"/>
        </w:rPr>
        <w:t>共回收家长卷 200 份、社工卷 25 份。为保证分析质量，严格按调查原则筛查无效问卷：关键题漏答、前后逻辑矛盾（如自填“几乎不监督”却在监督困难项填“经常”）、规律作答（整卷同一选项）均予剔除。最终家长卷有效 183 份（有效率 91.5%）、社工卷有效 24 份（有效率 96.0%），后续分析均基于有效样本。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560" w:lineRule="exact"/>
        <w:ind w:firstLine="0"/>
        <w:jc w:val="left"/>
        <w:textAlignment w:val="auto"/>
      </w:pPr>
      <w:r>
        <w:rPr>
          <w:rFonts w:ascii="黑体" w:hAnsi="黑体" w:eastAsia="黑体"/>
          <w:b/>
          <w:sz w:val="32"/>
        </w:rPr>
        <w:t>三、调研结果与分析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560" w:lineRule="exact"/>
        <w:ind w:firstLine="0"/>
        <w:jc w:val="left"/>
        <w:textAlignment w:val="auto"/>
      </w:pPr>
      <w:r>
        <w:rPr>
          <w:rFonts w:ascii="楷体_GB2312" w:hAnsi="楷体_GB2312" w:eastAsia="楷体_GB2312"/>
          <w:sz w:val="32"/>
        </w:rPr>
        <w:t>（一）屏幕依赖突出，运动时间不足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560" w:lineRule="exact"/>
        <w:ind w:firstLine="640"/>
        <w:jc w:val="left"/>
        <w:textAlignment w:val="auto"/>
      </w:pPr>
      <w:r>
        <w:rPr>
          <w:rFonts w:ascii="仿宋_GB2312" w:hAnsi="仿宋_GB2312" w:eastAsia="仿宋_GB2312"/>
          <w:sz w:val="32"/>
        </w:rPr>
        <w:t>家长卷显示，儿童日常运动时间集中在1小时以内（41.0%）与1—2小时（36.6%），能达2小时以上的不足四分之一；与之相对，日均屏幕时间2小时以上者达68.3%，其中3小时以上占27.3%。社工卷观察更为直观：辖区儿童日均户外活动不足30分钟者占41.7%，仅4.2%能达到2小时以上。电子屏幕对户外活动的挤压，是体质下滑的直接诱因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560" w:lineRule="exact"/>
        <w:ind w:firstLine="0"/>
        <w:jc w:val="left"/>
        <w:textAlignment w:val="auto"/>
      </w:pPr>
      <w:r>
        <w:rPr>
          <w:rFonts w:ascii="楷体_GB2312" w:hAnsi="楷体_GB2312" w:eastAsia="楷体_GB2312"/>
          <w:sz w:val="32"/>
        </w:rPr>
        <w:t>（二）家长观念偏差，监督陪伴缺位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560" w:lineRule="exact"/>
        <w:ind w:firstLine="640"/>
        <w:jc w:val="left"/>
        <w:textAlignment w:val="auto"/>
      </w:pPr>
      <w:r>
        <w:rPr>
          <w:rFonts w:ascii="仿宋_GB2312" w:hAnsi="仿宋_GB2312" w:eastAsia="仿宋_GB2312"/>
          <w:sz w:val="32"/>
        </w:rPr>
        <w:t>观念层面，37.7%的家长将成绩提升列为双减后首要关注，仅36.1%优先发展体育兴趣；65.0%的家长常把“完成作业才能出去玩”作为前提，其中认为此举“弊大于利”的达43.2%。行为层面，8.7%的家长几乎不监督孩子锻炼，26.2%从未制定锻炼计划；在运动不足的责任归因上，41.0%指向“家长重视不足、监督陪伴不够”。社工卷亦显示，约75.0%的家庭仍优先安排学科任务，家长多以旁观或低头看手机角色出现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560" w:lineRule="exact"/>
        <w:ind w:firstLine="0"/>
        <w:jc w:val="left"/>
        <w:textAlignment w:val="auto"/>
      </w:pPr>
      <w:r>
        <w:rPr>
          <w:rFonts w:ascii="楷体_GB2312" w:hAnsi="楷体_GB2312" w:eastAsia="楷体_GB2312"/>
          <w:sz w:val="32"/>
        </w:rPr>
        <w:t>（三）社区环境与专业指导短板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560" w:lineRule="exact"/>
        <w:ind w:firstLine="640"/>
        <w:jc w:val="left"/>
        <w:textAlignment w:val="auto"/>
      </w:pPr>
      <w:r>
        <w:rPr>
          <w:rFonts w:ascii="仿宋_GB2312" w:hAnsi="仿宋_GB2312" w:eastAsia="仿宋_GB2312"/>
          <w:sz w:val="32"/>
        </w:rPr>
        <w:t>安全与环境方面，64.0%的家长对运动安全存在担心并因此限制强度；社工卷中社区运动场地“严重不足或偏紧”的合计占45.8%。专业指导缺位是共性痛点：家长监督困难首位为“缺乏专业指导、不知如何监督”（21.9%），38.8%的家长将“缺乏知识和方法”列为最大障碍。这正呼应郭成根等关于“设施可用性与专业支持”是运动保护因素的研究结论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560" w:lineRule="exact"/>
        <w:ind w:firstLine="0"/>
        <w:jc w:val="left"/>
        <w:textAlignment w:val="auto"/>
        <w:rPr>
          <w:rFonts w:hint="eastAsia" w:ascii="黑体" w:hAnsi="黑体" w:eastAsia="黑体"/>
          <w:b/>
          <w:sz w:val="32"/>
        </w:rPr>
      </w:pPr>
      <w:r>
        <w:rPr>
          <w:rFonts w:hint="eastAsia" w:ascii="黑体" w:hAnsi="黑体" w:eastAsia="黑体"/>
          <w:b/>
          <w:sz w:val="32"/>
        </w:rPr>
        <w:t>四、实践过程：以动代屏，精准干预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560" w:lineRule="exact"/>
        <w:ind w:firstLine="640"/>
        <w:jc w:val="left"/>
        <w:textAlignment w:val="auto"/>
        <w:rPr>
          <w:rFonts w:hint="eastAsia" w:ascii="仿宋_GB2312" w:hAnsi="仿宋_GB2312" w:eastAsia="仿宋_GB2312"/>
          <w:b/>
          <w:bCs/>
          <w:sz w:val="32"/>
        </w:rPr>
      </w:pPr>
      <w:r>
        <w:rPr>
          <w:rFonts w:hint="eastAsia" w:ascii="仿宋_GB2312" w:hAnsi="仿宋_GB2312" w:eastAsia="仿宋_GB2312"/>
          <w:b/>
          <w:bCs/>
          <w:sz w:val="32"/>
        </w:rPr>
        <w:t>一套模板、两个模块、三场落地——因点施策的模块化实施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560" w:lineRule="exact"/>
        <w:ind w:firstLine="640"/>
        <w:jc w:val="left"/>
        <w:textAlignment w:val="auto"/>
        <w:rPr>
          <w:rFonts w:hint="eastAsia" w:ascii="仿宋_GB2312" w:hAnsi="仿宋_GB2312" w:eastAsia="仿宋_GB2312"/>
          <w:sz w:val="32"/>
        </w:rPr>
      </w:pPr>
      <w:r>
        <w:rPr>
          <w:rFonts w:hint="eastAsia" w:ascii="仿宋_GB2312" w:hAnsi="仿宋_GB2312" w:eastAsia="仿宋_GB2312"/>
          <w:sz w:val="32"/>
        </w:rPr>
        <w:t>为避免实践沦为"一场固定活动、换个社区就跑不动"的窘境，服务队确立模块化实施思路：先沉淀标准化服务模板，再将服务拆为两个可独立组合的模块，最后按社区实际条件落地。模板即"问卷调研—模块组合—现场实施—效果追踪"闭环，进入任一社区不必从零设计，保证可复制、可持续。两个模块分别为"宣讲模块"（网络素养科普）与"运动会模块"（体质提升趣味运动）。服务队据此走进威海市张村镇黄家皂幼儿园、蓝海社区、西海社区三个条件各异的点位：黄家皂幼儿园受限于室内场地与低龄儿童，单上宣讲模块；蓝海社区依托开阔户外场地，完整开展运动会模块；西海社区资源综合，则将双模块叠加并融入反诈宣讲。同一支队伍，因点施策、各展所长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560" w:lineRule="exact"/>
        <w:ind w:firstLine="640"/>
        <w:jc w:val="left"/>
        <w:textAlignment w:val="auto"/>
        <w:rPr>
          <w:rFonts w:hint="eastAsia" w:ascii="仿宋_GB2312" w:hAnsi="仿宋_GB2312" w:eastAsia="仿宋_GB2312"/>
          <w:sz w:val="32"/>
        </w:rPr>
      </w:pPr>
      <w:r>
        <w:rPr>
          <w:rFonts w:hint="eastAsia" w:ascii="仿宋_GB2312" w:hAnsi="仿宋_GB2312" w:eastAsia="仿宋_GB2312"/>
          <w:sz w:val="32"/>
        </w:rPr>
        <w:t>（一）调研摸底，锚定方向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560" w:lineRule="exact"/>
        <w:ind w:firstLine="640"/>
        <w:jc w:val="left"/>
        <w:textAlignment w:val="auto"/>
        <w:rPr>
          <w:rFonts w:hint="eastAsia" w:ascii="仿宋_GB2312" w:hAnsi="仿宋_GB2312" w:eastAsia="仿宋_GB2312"/>
          <w:sz w:val="32"/>
        </w:rPr>
      </w:pPr>
      <w:r>
        <w:rPr>
          <w:rFonts w:hint="eastAsia" w:ascii="仿宋_GB2312" w:hAnsi="仿宋_GB2312" w:eastAsia="仿宋_GB2312"/>
          <w:sz w:val="32"/>
        </w:rPr>
        <w:t>第二章的问卷与访谈数据揭示了两大症结——屏幕挤占运动时间、基层缺乏专业指导。基于此，服务队确立"疏堵结合、以动代屏"思路：不硬性禁网，而以更丰富的线下运动替代屏幕依赖，同步用自研数字工具补上专业指导缺口。这两大症结，恰对应后面两个线下模块与一项 AI 支撑的设计初衷。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560" w:lineRule="exact"/>
        <w:ind w:firstLine="640"/>
        <w:jc w:val="left"/>
        <w:textAlignment w:val="auto"/>
        <w:rPr>
          <w:rFonts w:hint="eastAsia" w:ascii="仿宋_GB2312" w:hAnsi="仿宋_GB2312" w:eastAsia="仿宋_GB2312"/>
          <w:sz w:val="32"/>
        </w:rPr>
      </w:pPr>
      <w:r>
        <w:rPr>
          <w:rFonts w:hint="eastAsia" w:ascii="仿宋_GB2312" w:hAnsi="仿宋_GB2312" w:eastAsia="仿宋_GB2312"/>
          <w:sz w:val="32"/>
        </w:rPr>
        <w:t>（二）宣讲模块：网络素养课堂，筑牢数字防护墙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560" w:lineRule="exact"/>
        <w:ind w:firstLine="640"/>
        <w:jc w:val="left"/>
        <w:textAlignment w:val="auto"/>
        <w:rPr>
          <w:rFonts w:hint="eastAsia" w:ascii="仿宋_GB2312" w:hAnsi="仿宋_GB2312" w:eastAsia="仿宋_GB2312"/>
          <w:sz w:val="32"/>
        </w:rPr>
      </w:pPr>
      <w:r>
        <w:rPr>
          <w:rFonts w:hint="eastAsia" w:ascii="仿宋_GB2312" w:hAnsi="仿宋_GB2312" w:eastAsia="仿宋_GB2312"/>
          <w:sz w:val="32"/>
        </w:rPr>
        <w:t>针对低龄儿童认知特点，团队设计"真正的大神，从不被屏幕绑架"课件，以"网络红绿灯""健康用网契约"等游戏化形式引导科学、自律用网，把防沉迷教育延伸至家庭日常。该模块在黄家皂幼儿园以四十分钟短课时精准落地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560" w:lineRule="exact"/>
        <w:ind w:firstLine="640"/>
        <w:jc w:val="left"/>
        <w:textAlignment w:val="auto"/>
        <w:rPr>
          <w:rFonts w:hint="eastAsia" w:ascii="仿宋_GB2312" w:hAnsi="仿宋_GB2312" w:eastAsia="仿宋_GB2312"/>
          <w:sz w:val="32"/>
        </w:rPr>
      </w:pPr>
      <w:r>
        <w:rPr>
          <w:rFonts w:hint="eastAsia" w:ascii="仿宋_GB2312" w:hAnsi="仿宋_GB2312" w:eastAsia="仿宋_GB2312"/>
          <w:sz w:val="32"/>
        </w:rPr>
        <w:t>（三）运动模块：趣味运动会，用真实快乐替代屏幕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560" w:lineRule="exact"/>
        <w:ind w:firstLine="640"/>
        <w:jc w:val="left"/>
        <w:textAlignment w:val="auto"/>
        <w:rPr>
          <w:rFonts w:hint="eastAsia" w:ascii="仿宋_GB2312" w:hAnsi="仿宋_GB2312" w:eastAsia="仿宋_GB2312"/>
          <w:sz w:val="32"/>
        </w:rPr>
      </w:pPr>
      <w:r>
        <w:rPr>
          <w:rFonts w:hint="eastAsia" w:ascii="仿宋_GB2312" w:hAnsi="仿宋_GB2312" w:eastAsia="仿宋_GB2312"/>
          <w:sz w:val="32"/>
        </w:rPr>
        <w:t>在蓝海社区、西海社区策划跳房子、接力赛跑、沙包投掷、障碍闯关等低门槛项目。孩子们奔跑跳跃、满头大汗，直观印证"以动代屏"价值——当身体运动带来真实愉悦，虚拟吸引力自然减弱，正对应研究中"自主运动意愿强者体质优良率显著更高"的发现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560" w:lineRule="exact"/>
        <w:ind w:firstLine="640"/>
        <w:jc w:val="left"/>
        <w:textAlignment w:val="auto"/>
        <w:rPr>
          <w:rFonts w:hint="eastAsia" w:ascii="仿宋_GB2312" w:hAnsi="仿宋_GB2312" w:eastAsia="仿宋_GB2312"/>
          <w:sz w:val="32"/>
        </w:rPr>
      </w:pPr>
      <w:r>
        <w:rPr>
          <w:rFonts w:hint="eastAsia" w:ascii="仿宋_GB2312" w:hAnsi="仿宋_GB2312" w:eastAsia="仿宋_GB2312"/>
          <w:sz w:val="32"/>
        </w:rPr>
        <w:t>（四）AI 赋能：数字工具弥补基层指导缺失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560" w:lineRule="exact"/>
        <w:ind w:firstLine="640"/>
        <w:jc w:val="left"/>
        <w:textAlignment w:val="auto"/>
        <w:rPr>
          <w:rFonts w:hint="eastAsia" w:ascii="黑体" w:hAnsi="黑体" w:eastAsia="黑体"/>
          <w:b/>
          <w:sz w:val="32"/>
        </w:rPr>
      </w:pPr>
      <w:r>
        <w:rPr>
          <w:rFonts w:hint="eastAsia" w:ascii="仿宋_GB2312" w:hAnsi="仿宋_GB2312" w:eastAsia="仿宋_GB2312"/>
          <w:sz w:val="32"/>
        </w:rPr>
        <w:t>针对家长"缺教练"反馈，服务队依据《全民健身计划》"运用人工智能赋能全民健身发展"要求，自主开发"童健韶华·AI 健康成长助手"小程序，家长填写孩子年龄、身高、体重即可生成 BMI 与 11 天运动计划，并评估屏幕依赖程度，把专业资源通过 AI 送到基层。与此同时推出"童健韶华服务队·个人 AI 教练"，侧重长期实践指导：可总结今日健身预览、记录动作与身体数据，并由智能教练基于本地数据给建议。所有数据仅存本地，避免隐私外泄。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560" w:lineRule="exact"/>
        <w:ind w:firstLine="0"/>
        <w:jc w:val="left"/>
        <w:textAlignment w:val="auto"/>
      </w:pPr>
      <w:r>
        <w:rPr>
          <w:rFonts w:ascii="黑体" w:hAnsi="黑体" w:eastAsia="黑体"/>
          <w:b/>
          <w:sz w:val="32"/>
        </w:rPr>
        <w:t>五、实践成果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560" w:lineRule="exact"/>
        <w:ind w:firstLine="640"/>
        <w:jc w:val="left"/>
        <w:textAlignment w:val="auto"/>
        <w:rPr>
          <w:rFonts w:ascii="仿宋_GB2312" w:hAnsi="仿宋_GB2312" w:eastAsia="仿宋_GB2312"/>
          <w:sz w:val="32"/>
        </w:rPr>
      </w:pPr>
      <w:r>
        <w:rPr>
          <w:rFonts w:ascii="仿宋_GB2312" w:hAnsi="仿宋_GB2312" w:eastAsia="仿宋_GB2312"/>
          <w:sz w:val="32"/>
        </w:rPr>
        <w:t>系列实践落地威海三处基层点位，覆盖百余名儿童，将文献所指的“校家社协同”落到具体场景：网络课堂补观念、趣味运动补行为、AI小程序补专业指导。活动收获幼儿园、社区与家长一致好评，并建立常态化校地志愿服务对接意向。相关纪实已投稿至“中</w:t>
      </w:r>
      <w:r>
        <w:rPr>
          <w:rFonts w:hint="eastAsia" w:ascii="仿宋_GB2312" w:hAnsi="仿宋_GB2312" w:eastAsia="仿宋_GB2312"/>
          <w:sz w:val="32"/>
          <w:lang w:val="en-US" w:eastAsia="zh-CN"/>
        </w:rPr>
        <w:t>青</w:t>
      </w:r>
      <w:r>
        <w:rPr>
          <w:rFonts w:ascii="仿宋_GB2312" w:hAnsi="仿宋_GB2312" w:eastAsia="仿宋_GB2312"/>
          <w:sz w:val="32"/>
        </w:rPr>
        <w:t>校园三下乡”专栏并获通过。对照长沙5年跟踪干预“日均中高强度运动从36.8分钟提升至58.2分钟”的实证，本实践虽周期较短，但已显现以运动替代屏幕、以陪伴替代说教的清晰路径。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560" w:lineRule="exact"/>
        <w:ind w:firstLine="640"/>
        <w:jc w:val="left"/>
        <w:textAlignment w:val="auto"/>
        <w:rPr>
          <w:rFonts w:ascii="仿宋_GB2312" w:hAnsi="仿宋_GB2312" w:eastAsia="仿宋_GB2312"/>
          <w:sz w:val="32"/>
        </w:rPr>
      </w:pPr>
      <w:r>
        <w:rPr>
          <w:rFonts w:ascii="仿宋_GB2312" w:hAnsi="仿宋_GB2312" w:eastAsia="仿宋_GB2312"/>
          <w:sz w:val="32"/>
        </w:rPr>
        <w:t>除一线服务外，团队更把“以动代屏”的实践成果视为可共享的公共资源。本次实践自主开发的“童健韶华·AI健康成长助手”小程序、“个人AI教练”及配套网络素养课件、趣味运动方案，已全部开源发布至GitHub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（代码托管与协作开发平台）</w:t>
      </w:r>
      <w:r>
        <w:rPr>
          <w:rFonts w:ascii="仿宋_GB2312" w:hAnsi="仿宋_GB2312" w:eastAsia="仿宋_GB2312"/>
          <w:sz w:val="32"/>
        </w:rPr>
        <w:t>，并持续投入精力运营推广。将项目开源，本身就是一种开源性实践——它把一次性的线下服务沉淀为可被反复获取、复用与改进的开放成果，使“以动代屏”的干预方法突破地域与时间的限制，惠及更多基层社区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560" w:lineRule="exact"/>
        <w:ind w:firstLine="640"/>
        <w:jc w:val="left"/>
        <w:textAlignment w:val="auto"/>
        <w:rPr>
          <w:rFonts w:ascii="仿宋_GB2312" w:hAnsi="仿宋_GB2312" w:eastAsia="仿宋_GB2312"/>
          <w:sz w:val="32"/>
        </w:rPr>
      </w:pPr>
      <w:r>
        <w:rPr>
          <w:rFonts w:hint="default" w:ascii="仿宋_GB2312" w:hAnsi="仿宋_GB2312" w:eastAsia="仿宋_GB2312"/>
          <w:sz w:val="32"/>
        </w:rPr>
        <w:t>团队深知，三下乡几天的成效只是起点，真正的价值在于让好方法持续生长。我们不满足于眼前所见的那一点改变，而是进一步想到：唯有让工具与经验走出一支队伍的小圈子，项目才能可持续地走下去。通过开源，更多高校志愿团队、基层工作者与家长得以免费获取、本地化改造这些课程与小程序，既降低了同类服务的起步门槛，也以透明、可追溯的方式接受社会检验。从“把方法送到孩子身边”到“把工具交给更多同行者”，童健韶华志愿服务队愿以开源之力，让青春守护在“健康中国”战略中长久发光，推动实践成果走得更远、更可持续。</w:t>
      </w:r>
      <w:bookmarkStart w:id="0" w:name="_GoBack"/>
      <w:bookmarkEnd w:id="0"/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560" w:lineRule="exact"/>
        <w:ind w:firstLine="0"/>
        <w:jc w:val="left"/>
        <w:textAlignment w:val="auto"/>
      </w:pPr>
      <w:r>
        <w:rPr>
          <w:rFonts w:ascii="黑体" w:hAnsi="黑体" w:eastAsia="黑体"/>
          <w:b/>
          <w:sz w:val="32"/>
        </w:rPr>
        <w:t>六、结束语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560" w:lineRule="exact"/>
        <w:ind w:firstLine="640"/>
        <w:jc w:val="left"/>
        <w:textAlignment w:val="auto"/>
        <w:rPr>
          <w:rFonts w:hint="default" w:ascii="仿宋_GB2312" w:hAnsi="仿宋_GB2312" w:eastAsia="仿宋_GB2312"/>
          <w:sz w:val="32"/>
        </w:rPr>
      </w:pPr>
      <w:r>
        <w:rPr>
          <w:rFonts w:hint="default" w:ascii="仿宋_GB2312" w:hAnsi="仿宋_GB2312" w:eastAsia="仿宋_GB2312"/>
          <w:sz w:val="32"/>
        </w:rPr>
        <w:t>对6名</w:t>
      </w:r>
      <w:r>
        <w:rPr>
          <w:rFonts w:hint="eastAsia" w:ascii="仿宋_GB2312" w:hAnsi="仿宋_GB2312" w:eastAsia="仿宋_GB2312"/>
          <w:sz w:val="32"/>
          <w:lang w:eastAsia="zh-CN"/>
        </w:rPr>
        <w:t>“</w:t>
      </w:r>
      <w:r>
        <w:rPr>
          <w:rFonts w:hint="default" w:ascii="仿宋_GB2312" w:hAnsi="仿宋_GB2312" w:eastAsia="仿宋_GB2312"/>
          <w:sz w:val="32"/>
        </w:rPr>
        <w:t>童健韶华</w:t>
      </w:r>
      <w:r>
        <w:rPr>
          <w:rFonts w:hint="eastAsia" w:ascii="仿宋_GB2312" w:hAnsi="仿宋_GB2312" w:eastAsia="仿宋_GB2312"/>
          <w:sz w:val="32"/>
          <w:lang w:eastAsia="zh-CN"/>
        </w:rPr>
        <w:t>”</w:t>
      </w:r>
      <w:r>
        <w:rPr>
          <w:rFonts w:hint="default" w:ascii="仿宋_GB2312" w:hAnsi="仿宋_GB2312" w:eastAsia="仿宋_GB2312"/>
          <w:sz w:val="32"/>
        </w:rPr>
        <w:t>青年志愿者而言，本次实践是行走的思政必修课。一名队员在实践手记中写道：</w:t>
      </w:r>
      <w:r>
        <w:rPr>
          <w:rFonts w:hint="eastAsia" w:ascii="仿宋_GB2312" w:hAnsi="仿宋_GB2312" w:eastAsia="仿宋_GB2312"/>
          <w:sz w:val="32"/>
          <w:lang w:eastAsia="zh-CN"/>
        </w:rPr>
        <w:t>“</w:t>
      </w:r>
      <w:r>
        <w:rPr>
          <w:rFonts w:hint="default" w:ascii="仿宋_GB2312" w:hAnsi="仿宋_GB2312" w:eastAsia="仿宋_GB2312"/>
          <w:sz w:val="32"/>
        </w:rPr>
        <w:t>看着孩子们放下手机肆意奔跑、开怀大笑，我真切读懂青年志愿服务里</w:t>
      </w:r>
      <w:r>
        <w:rPr>
          <w:rFonts w:hint="eastAsia" w:ascii="仿宋_GB2312" w:hAnsi="仿宋_GB2312" w:eastAsia="仿宋_GB2312"/>
          <w:sz w:val="32"/>
          <w:lang w:eastAsia="zh-CN"/>
        </w:rPr>
        <w:t>‘</w:t>
      </w:r>
      <w:r>
        <w:rPr>
          <w:rFonts w:hint="default" w:ascii="仿宋_GB2312" w:hAnsi="仿宋_GB2312" w:eastAsia="仿宋_GB2312"/>
          <w:sz w:val="32"/>
        </w:rPr>
        <w:t>陪伴</w:t>
      </w:r>
      <w:r>
        <w:rPr>
          <w:rFonts w:hint="eastAsia" w:ascii="仿宋_GB2312" w:hAnsi="仿宋_GB2312" w:eastAsia="仿宋_GB2312"/>
          <w:sz w:val="32"/>
          <w:lang w:eastAsia="zh-CN"/>
        </w:rPr>
        <w:t>’</w:t>
      </w:r>
      <w:r>
        <w:rPr>
          <w:rFonts w:hint="default" w:ascii="仿宋_GB2312" w:hAnsi="仿宋_GB2312" w:eastAsia="仿宋_GB2312"/>
          <w:sz w:val="32"/>
        </w:rPr>
        <w:t>二字的重量。</w:t>
      </w:r>
      <w:r>
        <w:rPr>
          <w:rFonts w:hint="eastAsia" w:ascii="仿宋_GB2312" w:hAnsi="仿宋_GB2312" w:eastAsia="仿宋_GB2312"/>
          <w:sz w:val="32"/>
          <w:lang w:eastAsia="zh-CN"/>
        </w:rPr>
        <w:t>”</w:t>
      </w:r>
      <w:r>
        <w:rPr>
          <w:rFonts w:hint="default" w:ascii="仿宋_GB2312" w:hAnsi="仿宋_GB2312" w:eastAsia="仿宋_GB2312"/>
          <w:sz w:val="32"/>
        </w:rPr>
        <w:t>调研也显示，基层仍面临家长观念转变慢、专业师资紧缺、社区场地偏紧等难题，建议进一步强化校家社联动、以青春创意对接新媒体与文旅传播。下一步，团队将持续对接威海涉农社区与乡村幼儿园，让</w:t>
      </w:r>
      <w:r>
        <w:rPr>
          <w:rFonts w:hint="eastAsia" w:ascii="仿宋_GB2312" w:hAnsi="仿宋_GB2312" w:eastAsia="仿宋_GB2312"/>
          <w:sz w:val="32"/>
          <w:lang w:eastAsia="zh-CN"/>
        </w:rPr>
        <w:t>“</w:t>
      </w:r>
      <w:r>
        <w:rPr>
          <w:rFonts w:hint="default" w:ascii="仿宋_GB2312" w:hAnsi="仿宋_GB2312" w:eastAsia="仿宋_GB2312"/>
          <w:sz w:val="32"/>
        </w:rPr>
        <w:t>以动代屏</w:t>
      </w:r>
      <w:r>
        <w:rPr>
          <w:rFonts w:hint="eastAsia" w:ascii="仿宋_GB2312" w:hAnsi="仿宋_GB2312" w:eastAsia="仿宋_GB2312"/>
          <w:sz w:val="32"/>
          <w:lang w:eastAsia="zh-CN"/>
        </w:rPr>
        <w:t>”</w:t>
      </w:r>
      <w:r>
        <w:rPr>
          <w:rFonts w:hint="default" w:ascii="仿宋_GB2312" w:hAnsi="仿宋_GB2312" w:eastAsia="仿宋_GB2312"/>
          <w:sz w:val="32"/>
        </w:rPr>
        <w:t>在更多基层落地生根；同时推动GitHub</w:t>
      </w:r>
      <w:r>
        <w:rPr>
          <w:rFonts w:hint="eastAsia" w:ascii="仿宋_GB2312" w:hAnsi="仿宋_GB2312" w:eastAsia="仿宋_GB2312"/>
          <w:sz w:val="32"/>
          <w:lang w:val="en-US" w:eastAsia="zh-CN"/>
        </w:rPr>
        <w:t>&amp;AI</w:t>
      </w:r>
      <w:r>
        <w:rPr>
          <w:rFonts w:hint="default" w:ascii="仿宋_GB2312" w:hAnsi="仿宋_GB2312" w:eastAsia="仿宋_GB2312"/>
          <w:sz w:val="32"/>
        </w:rPr>
        <w:t>开源资源的广泛利用与AI赋能，把这套可复制的方法向更大范围推广。团队将始终紧扣国家</w:t>
      </w:r>
      <w:r>
        <w:rPr>
          <w:rFonts w:hint="eastAsia" w:ascii="仿宋_GB2312" w:hAnsi="仿宋_GB2312" w:eastAsia="仿宋_GB2312"/>
          <w:sz w:val="32"/>
          <w:lang w:eastAsia="zh-CN"/>
        </w:rPr>
        <w:t>“</w:t>
      </w:r>
      <w:r>
        <w:rPr>
          <w:rFonts w:hint="default" w:ascii="仿宋_GB2312" w:hAnsi="仿宋_GB2312" w:eastAsia="仿宋_GB2312"/>
          <w:sz w:val="32"/>
        </w:rPr>
        <w:t>健康中国2030</w:t>
      </w:r>
      <w:r>
        <w:rPr>
          <w:rFonts w:hint="eastAsia" w:ascii="仿宋_GB2312" w:hAnsi="仿宋_GB2312" w:eastAsia="仿宋_GB2312"/>
          <w:sz w:val="32"/>
          <w:lang w:eastAsia="zh-CN"/>
        </w:rPr>
        <w:t>”“</w:t>
      </w:r>
      <w:r>
        <w:rPr>
          <w:rFonts w:hint="default" w:ascii="仿宋_GB2312" w:hAnsi="仿宋_GB2312" w:eastAsia="仿宋_GB2312"/>
          <w:sz w:val="32"/>
        </w:rPr>
        <w:t>全民健身</w:t>
      </w:r>
      <w:r>
        <w:rPr>
          <w:rFonts w:hint="eastAsia" w:ascii="仿宋_GB2312" w:hAnsi="仿宋_GB2312" w:eastAsia="仿宋_GB2312"/>
          <w:sz w:val="32"/>
          <w:lang w:eastAsia="zh-CN"/>
        </w:rPr>
        <w:t>”</w:t>
      </w:r>
      <w:r>
        <w:rPr>
          <w:rFonts w:hint="default" w:ascii="仿宋_GB2312" w:hAnsi="仿宋_GB2312" w:eastAsia="仿宋_GB2312"/>
          <w:sz w:val="32"/>
        </w:rPr>
        <w:t>等政策指引，把青春行动持续推向深入，为"健康中国"战略在青少年群体中的落地贡献持久力量。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560" w:lineRule="exact"/>
        <w:ind w:firstLine="640"/>
        <w:jc w:val="left"/>
        <w:textAlignment w:val="auto"/>
        <w:rPr>
          <w:rFonts w:hint="default" w:ascii="仿宋_GB2312" w:hAnsi="仿宋_GB2312" w:eastAsia="仿宋_GB2312"/>
          <w:sz w:val="32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560" w:lineRule="exact"/>
        <w:ind w:firstLine="640"/>
        <w:jc w:val="left"/>
        <w:textAlignment w:val="auto"/>
        <w:rPr>
          <w:rFonts w:hint="default" w:ascii="仿宋_GB2312" w:hAnsi="仿宋_GB2312" w:eastAsia="仿宋_GB2312"/>
          <w:sz w:val="32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560" w:lineRule="exact"/>
        <w:ind w:firstLine="640"/>
        <w:jc w:val="left"/>
        <w:textAlignment w:val="auto"/>
        <w:rPr>
          <w:rFonts w:hint="default" w:ascii="仿宋_GB2312" w:hAnsi="仿宋_GB2312" w:eastAsia="仿宋_GB2312"/>
          <w:sz w:val="32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560" w:lineRule="exact"/>
        <w:ind w:firstLine="640"/>
        <w:jc w:val="left"/>
        <w:textAlignment w:val="auto"/>
        <w:rPr>
          <w:rFonts w:hint="default" w:ascii="仿宋_GB2312" w:hAnsi="仿宋_GB2312" w:eastAsia="仿宋_GB2312"/>
          <w:sz w:val="32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560" w:lineRule="exact"/>
        <w:ind w:firstLine="640"/>
        <w:jc w:val="left"/>
        <w:textAlignment w:val="auto"/>
        <w:rPr>
          <w:rFonts w:hint="default" w:ascii="仿宋_GB2312" w:hAnsi="仿宋_GB2312" w:eastAsia="仿宋_GB2312"/>
          <w:sz w:val="32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560" w:lineRule="exact"/>
        <w:ind w:firstLine="640"/>
        <w:jc w:val="left"/>
        <w:textAlignment w:val="auto"/>
        <w:rPr>
          <w:rFonts w:hint="default" w:ascii="仿宋_GB2312" w:hAnsi="仿宋_GB2312" w:eastAsia="仿宋_GB2312"/>
          <w:sz w:val="32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560" w:lineRule="exact"/>
        <w:ind w:firstLine="640"/>
        <w:jc w:val="left"/>
        <w:textAlignment w:val="auto"/>
        <w:rPr>
          <w:rFonts w:hint="default" w:ascii="仿宋_GB2312" w:hAnsi="仿宋_GB2312" w:eastAsia="仿宋_GB2312"/>
          <w:sz w:val="32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560" w:lineRule="exact"/>
        <w:ind w:firstLine="640"/>
        <w:jc w:val="left"/>
        <w:textAlignment w:val="auto"/>
        <w:rPr>
          <w:rFonts w:hint="default" w:ascii="仿宋_GB2312" w:hAnsi="仿宋_GB2312" w:eastAsia="仿宋_GB2312"/>
          <w:sz w:val="32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560" w:lineRule="exact"/>
        <w:ind w:firstLine="640"/>
        <w:jc w:val="left"/>
        <w:textAlignment w:val="auto"/>
        <w:rPr>
          <w:rFonts w:hint="default" w:ascii="仿宋_GB2312" w:hAnsi="仿宋_GB2312" w:eastAsia="仿宋_GB2312"/>
          <w:sz w:val="32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560" w:lineRule="exact"/>
        <w:ind w:firstLine="640"/>
        <w:jc w:val="left"/>
        <w:textAlignment w:val="auto"/>
        <w:rPr>
          <w:rFonts w:hint="default" w:ascii="仿宋_GB2312" w:hAnsi="仿宋_GB2312" w:eastAsia="仿宋_GB2312"/>
          <w:sz w:val="32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560" w:lineRule="exact"/>
        <w:ind w:firstLine="640"/>
        <w:jc w:val="left"/>
        <w:textAlignment w:val="auto"/>
        <w:rPr>
          <w:rFonts w:hint="default" w:ascii="仿宋_GB2312" w:hAnsi="仿宋_GB2312" w:eastAsia="仿宋_GB2312"/>
          <w:sz w:val="32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560" w:lineRule="exact"/>
        <w:ind w:firstLine="640"/>
        <w:jc w:val="left"/>
        <w:textAlignment w:val="auto"/>
        <w:rPr>
          <w:rFonts w:hint="default" w:ascii="仿宋_GB2312" w:hAnsi="仿宋_GB2312" w:eastAsia="仿宋_GB2312"/>
          <w:sz w:val="32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560" w:lineRule="exact"/>
        <w:ind w:firstLine="640"/>
        <w:jc w:val="left"/>
        <w:textAlignment w:val="auto"/>
        <w:rPr>
          <w:rFonts w:hint="default" w:ascii="仿宋_GB2312" w:hAnsi="仿宋_GB2312" w:eastAsia="仿宋_GB2312"/>
          <w:sz w:val="32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560" w:lineRule="exact"/>
        <w:ind w:firstLine="640"/>
        <w:jc w:val="left"/>
        <w:textAlignment w:val="auto"/>
        <w:rPr>
          <w:rFonts w:hint="default" w:ascii="仿宋_GB2312" w:hAnsi="仿宋_GB2312" w:eastAsia="仿宋_GB2312"/>
          <w:sz w:val="32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560" w:lineRule="exact"/>
        <w:ind w:firstLine="640"/>
        <w:jc w:val="left"/>
        <w:textAlignment w:val="auto"/>
        <w:rPr>
          <w:rFonts w:hint="default" w:ascii="仿宋_GB2312" w:hAnsi="仿宋_GB2312" w:eastAsia="仿宋_GB2312"/>
          <w:sz w:val="32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560" w:lineRule="exact"/>
        <w:jc w:val="left"/>
        <w:textAlignment w:val="auto"/>
        <w:rPr>
          <w:rFonts w:hint="default" w:ascii="仿宋_GB2312" w:hAnsi="仿宋_GB2312" w:eastAsia="仿宋_GB2312"/>
          <w:sz w:val="32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560" w:lineRule="exact"/>
        <w:jc w:val="left"/>
        <w:textAlignment w:val="auto"/>
        <w:rPr>
          <w:rFonts w:hint="default" w:ascii="仿宋_GB2312" w:hAnsi="仿宋_GB2312" w:eastAsia="仿宋_GB2312"/>
          <w:sz w:val="32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560" w:lineRule="exact"/>
        <w:ind w:firstLine="640"/>
        <w:jc w:val="left"/>
        <w:textAlignment w:val="auto"/>
        <w:rPr>
          <w:rFonts w:hint="default" w:ascii="仿宋_GB2312" w:hAnsi="仿宋_GB2312" w:eastAsia="仿宋_GB2312"/>
          <w:sz w:val="32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560" w:lineRule="exact"/>
        <w:ind w:firstLine="0"/>
        <w:jc w:val="center"/>
        <w:textAlignment w:val="auto"/>
      </w:pPr>
      <w:r>
        <w:rPr>
          <w:rFonts w:ascii="黑体" w:hAnsi="黑体" w:eastAsia="黑体"/>
          <w:b/>
          <w:sz w:val="32"/>
        </w:rPr>
        <w:t>山东药品食品职业学院学生社会实践活动记录表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2"/>
        <w:gridCol w:w="425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560" w:lineRule="exact"/>
              <w:jc w:val="left"/>
              <w:textAlignment w:val="auto"/>
            </w:pPr>
            <w:r>
              <w:rPr>
                <w:rFonts w:ascii="黑体" w:hAnsi="黑体" w:eastAsia="黑体"/>
                <w:b/>
                <w:sz w:val="22"/>
              </w:rPr>
              <w:t>项目名称</w:t>
            </w:r>
          </w:p>
        </w:tc>
        <w:tc>
          <w:tcPr>
            <w:tcW w:w="4252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560" w:lineRule="exact"/>
              <w:ind w:firstLine="440" w:firstLineChars="200"/>
              <w:jc w:val="left"/>
              <w:textAlignment w:val="auto"/>
            </w:pPr>
            <w:r>
              <w:rPr>
                <w:rFonts w:hint="eastAsia"/>
              </w:rPr>
              <w:t>童健韶华·健体逐梦——社区青少年体质提升与健康引导实践项目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560" w:lineRule="exact"/>
              <w:jc w:val="left"/>
              <w:textAlignment w:val="auto"/>
            </w:pPr>
            <w:r>
              <w:rPr>
                <w:rFonts w:ascii="黑体" w:hAnsi="黑体" w:eastAsia="黑体"/>
                <w:b/>
                <w:sz w:val="22"/>
              </w:rPr>
              <w:t>活动时间</w:t>
            </w:r>
          </w:p>
        </w:tc>
        <w:tc>
          <w:tcPr>
            <w:tcW w:w="4252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560" w:lineRule="exact"/>
              <w:ind w:firstLine="440" w:firstLineChars="200"/>
              <w:jc w:val="center"/>
              <w:textAlignment w:val="auto"/>
            </w:pPr>
            <w:r>
              <w:rPr>
                <w:rFonts w:ascii="仿宋_GB2312" w:hAnsi="仿宋_GB2312" w:eastAsia="仿宋_GB2312"/>
                <w:b w:val="0"/>
                <w:sz w:val="22"/>
              </w:rPr>
              <w:t>2026年7月2日—7月8日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560" w:lineRule="exact"/>
              <w:jc w:val="left"/>
              <w:textAlignment w:val="auto"/>
            </w:pPr>
            <w:r>
              <w:rPr>
                <w:rFonts w:ascii="黑体" w:hAnsi="黑体" w:eastAsia="黑体"/>
                <w:b/>
                <w:sz w:val="22"/>
              </w:rPr>
              <w:t>活动地点</w:t>
            </w:r>
          </w:p>
        </w:tc>
        <w:tc>
          <w:tcPr>
            <w:tcW w:w="4252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560" w:lineRule="exact"/>
              <w:ind w:firstLine="440" w:firstLineChars="200"/>
              <w:jc w:val="left"/>
              <w:textAlignment w:val="auto"/>
            </w:pPr>
            <w:r>
              <w:rPr>
                <w:rFonts w:ascii="仿宋_GB2312" w:hAnsi="仿宋_GB2312" w:eastAsia="仿宋_GB2312"/>
                <w:b w:val="0"/>
                <w:sz w:val="22"/>
              </w:rPr>
              <w:t>威海市张村镇黄家皂幼儿园、蓝海社区、西海社区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560" w:lineRule="exact"/>
              <w:jc w:val="left"/>
              <w:textAlignment w:val="auto"/>
            </w:pPr>
            <w:r>
              <w:rPr>
                <w:rFonts w:ascii="黑体" w:hAnsi="黑体" w:eastAsia="黑体"/>
                <w:b/>
                <w:sz w:val="22"/>
              </w:rPr>
              <w:t>参加人员</w:t>
            </w:r>
          </w:p>
        </w:tc>
        <w:tc>
          <w:tcPr>
            <w:tcW w:w="4252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560" w:lineRule="exact"/>
              <w:ind w:firstLine="440" w:firstLineChars="200"/>
              <w:jc w:val="left"/>
              <w:textAlignment w:val="auto"/>
            </w:pPr>
            <w:r>
              <w:rPr>
                <w:rFonts w:ascii="仿宋_GB2312" w:hAnsi="仿宋_GB2312" w:eastAsia="仿宋_GB2312"/>
                <w:b w:val="0"/>
                <w:sz w:val="22"/>
              </w:rPr>
              <w:t>阎宗宁、祝鸣轩、李响</w:t>
            </w:r>
            <w:r>
              <w:rPr>
                <w:rFonts w:hint="eastAsia" w:ascii="仿宋_GB2312" w:hAnsi="仿宋_GB2312" w:eastAsia="仿宋_GB2312"/>
                <w:b w:val="0"/>
                <w:sz w:val="22"/>
                <w:lang w:eastAsia="zh-CN"/>
              </w:rPr>
              <w:t>、</w:t>
            </w:r>
            <w:r>
              <w:rPr>
                <w:rFonts w:hint="eastAsia" w:ascii="仿宋_GB2312" w:hAnsi="仿宋_GB2312" w:eastAsia="仿宋_GB2312"/>
                <w:b w:val="0"/>
                <w:sz w:val="22"/>
              </w:rPr>
              <w:t>郭亦彤</w:t>
            </w:r>
            <w:r>
              <w:rPr>
                <w:rFonts w:hint="eastAsia" w:ascii="仿宋_GB2312" w:hAnsi="仿宋_GB2312" w:eastAsia="仿宋_GB2312"/>
                <w:b w:val="0"/>
                <w:sz w:val="22"/>
                <w:lang w:eastAsia="zh-CN"/>
              </w:rPr>
              <w:t>、</w:t>
            </w:r>
            <w:r>
              <w:rPr>
                <w:rFonts w:hint="eastAsia" w:ascii="仿宋_GB2312" w:hAnsi="仿宋_GB2312" w:eastAsia="仿宋_GB2312"/>
                <w:b w:val="0"/>
                <w:sz w:val="22"/>
              </w:rPr>
              <w:t>陈虹宇</w:t>
            </w:r>
            <w:r>
              <w:rPr>
                <w:rFonts w:hint="eastAsia" w:ascii="仿宋_GB2312" w:hAnsi="仿宋_GB2312" w:eastAsia="仿宋_GB2312"/>
                <w:b w:val="0"/>
                <w:sz w:val="22"/>
                <w:lang w:eastAsia="zh-CN"/>
              </w:rPr>
              <w:t>、</w:t>
            </w:r>
            <w:r>
              <w:rPr>
                <w:rFonts w:hint="eastAsia" w:ascii="仿宋_GB2312" w:hAnsi="仿宋_GB2312" w:eastAsia="仿宋_GB2312"/>
                <w:b w:val="0"/>
                <w:sz w:val="22"/>
              </w:rPr>
              <w:t>段文烁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560" w:lineRule="exact"/>
              <w:jc w:val="left"/>
              <w:textAlignment w:val="auto"/>
            </w:pPr>
            <w:r>
              <w:rPr>
                <w:rFonts w:ascii="黑体" w:hAnsi="黑体" w:eastAsia="黑体"/>
                <w:b/>
                <w:sz w:val="22"/>
              </w:rPr>
              <w:t>活动方式</w:t>
            </w:r>
          </w:p>
        </w:tc>
        <w:tc>
          <w:tcPr>
            <w:tcW w:w="4252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560" w:lineRule="exact"/>
              <w:ind w:firstLine="440" w:firstLineChars="200"/>
              <w:jc w:val="left"/>
              <w:textAlignment w:val="auto"/>
            </w:pPr>
            <w:r>
              <w:rPr>
                <w:rFonts w:ascii="仿宋_GB2312" w:hAnsi="仿宋_GB2312" w:eastAsia="仿宋_GB2312"/>
                <w:b w:val="0"/>
                <w:sz w:val="22"/>
              </w:rPr>
              <w:t>问卷调查、访谈调研、文献研究、互动课堂、趣味运动会、小程序开发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560" w:lineRule="exact"/>
              <w:jc w:val="left"/>
              <w:textAlignment w:val="auto"/>
            </w:pPr>
            <w:r>
              <w:rPr>
                <w:rFonts w:ascii="黑体" w:hAnsi="黑体" w:eastAsia="黑体"/>
                <w:b/>
                <w:sz w:val="22"/>
              </w:rPr>
              <w:t>活动情况</w:t>
            </w:r>
          </w:p>
        </w:tc>
        <w:tc>
          <w:tcPr>
            <w:tcW w:w="4252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560" w:lineRule="exact"/>
              <w:ind w:firstLine="440" w:firstLineChars="200"/>
              <w:jc w:val="left"/>
              <w:textAlignment w:val="auto"/>
            </w:pPr>
            <w:r>
              <w:rPr>
                <w:rFonts w:ascii="仿宋_GB2312" w:hAnsi="仿宋_GB2312" w:eastAsia="仿宋_GB2312"/>
                <w:b w:val="0"/>
                <w:sz w:val="22"/>
              </w:rPr>
              <w:t>2026年7月2日至8日，“童健韶华”志愿服务队在威海市张村镇黄家皂幼儿园、蓝海社区、西海社区开展儿童体质提升与网络素养启蒙实践。团队聚焦青少年体质偏弱、电子依赖偏重的现实问题，开设网络素养科普课堂、策划趣味运动会（跳房子、接力赛跑、沙包投掷、障碍闯关等），以真实运动快乐替代屏幕依赖；并自主开发“童健韶华·AI健康成长助手”与“个人AI教练”两款小程序，补全基层专业指导缺口。活动覆盖百余名儿童，孩子们运动意愿明显增强、屏幕依赖有所缓解，体质健康得到切实改善；实践获幼儿园、社区与家长一致好评，并建立常态化校地志愿服务对接，相关纪实已投稿“中</w:t>
            </w:r>
            <w:r>
              <w:rPr>
                <w:rFonts w:hint="eastAsia" w:ascii="仿宋_GB2312" w:hAnsi="仿宋_GB2312" w:eastAsia="仿宋_GB2312"/>
                <w:b w:val="0"/>
                <w:sz w:val="22"/>
                <w:lang w:eastAsia="zh-CN"/>
              </w:rPr>
              <w:t>青</w:t>
            </w:r>
            <w:r>
              <w:rPr>
                <w:rFonts w:ascii="仿宋_GB2312" w:hAnsi="仿宋_GB2312" w:eastAsia="仿宋_GB2312"/>
                <w:b w:val="0"/>
                <w:sz w:val="22"/>
              </w:rPr>
              <w:t>校园三下乡”专栏并获通过。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560" w:lineRule="exact"/>
              <w:jc w:val="left"/>
              <w:textAlignment w:val="auto"/>
            </w:pPr>
            <w:r>
              <w:rPr>
                <w:rFonts w:ascii="黑体" w:hAnsi="黑体" w:eastAsia="黑体"/>
                <w:b/>
                <w:sz w:val="22"/>
              </w:rPr>
              <w:t>活动小结</w:t>
            </w:r>
          </w:p>
        </w:tc>
        <w:tc>
          <w:tcPr>
            <w:tcW w:w="4252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560" w:lineRule="exact"/>
              <w:ind w:firstLine="440" w:firstLineChars="200"/>
              <w:jc w:val="left"/>
              <w:textAlignment w:val="auto"/>
            </w:pPr>
            <w:r>
              <w:rPr>
                <w:rFonts w:ascii="仿宋_GB2312" w:hAnsi="仿宋_GB2312" w:eastAsia="仿宋_GB2312"/>
                <w:b w:val="0"/>
                <w:sz w:val="22"/>
              </w:rPr>
              <w:t>本实践以“提升青少年体质健康”为出发点与落脚点，以“疏堵结合、以动代屏”思路改善基层儿童屏幕依赖与体质短板：线下运动补行为、AI小程序补专业指导、校家社协同补长效。后续需巩固专业师资与活动可持续性，让体质提升在更多基层落地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560" w:lineRule="exact"/>
              <w:jc w:val="left"/>
              <w:textAlignment w:val="auto"/>
            </w:pPr>
            <w:r>
              <w:rPr>
                <w:rFonts w:ascii="黑体" w:hAnsi="黑体" w:eastAsia="黑体"/>
                <w:b/>
                <w:sz w:val="22"/>
              </w:rPr>
              <w:t>队长签字</w:t>
            </w:r>
          </w:p>
        </w:tc>
        <w:tc>
          <w:tcPr>
            <w:tcW w:w="4252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560" w:lineRule="exact"/>
              <w:jc w:val="left"/>
              <w:textAlignment w:val="auto"/>
            </w:pPr>
            <w:r>
              <w:rPr>
                <w:rFonts w:ascii="仿宋_GB2312" w:hAnsi="仿宋_GB2312" w:eastAsia="仿宋_GB2312"/>
                <w:b w:val="0"/>
                <w:sz w:val="22"/>
              </w:rPr>
              <w:t>＿＿＿＿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560" w:lineRule="exact"/>
              <w:jc w:val="left"/>
              <w:textAlignment w:val="auto"/>
            </w:pPr>
            <w:r>
              <w:rPr>
                <w:rFonts w:ascii="黑体" w:hAnsi="黑体" w:eastAsia="黑体"/>
                <w:b/>
                <w:sz w:val="22"/>
              </w:rPr>
              <w:t>指导老师签字</w:t>
            </w:r>
          </w:p>
        </w:tc>
        <w:tc>
          <w:tcPr>
            <w:tcW w:w="4252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560" w:lineRule="exact"/>
              <w:jc w:val="left"/>
              <w:textAlignment w:val="auto"/>
            </w:pPr>
            <w:r>
              <w:rPr>
                <w:rFonts w:ascii="仿宋_GB2312" w:hAnsi="仿宋_GB2312" w:eastAsia="仿宋_GB2312"/>
                <w:b w:val="0"/>
                <w:sz w:val="22"/>
              </w:rPr>
              <w:t>＿＿＿＿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</w:pPr>
    </w:p>
    <w:sectPr>
      <w:pgSz w:w="11906" w:h="16838"/>
      <w:pgMar w:top="1417" w:right="1701" w:bottom="1417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6028D6"/>
    <w:multiLevelType w:val="singleLevel"/>
    <w:tmpl w:val="AC6028D6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DEB9942E"/>
    <w:multiLevelType w:val="singleLevel"/>
    <w:tmpl w:val="DEB9942E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4"/>
  </w:num>
  <w:num w:numId="5">
    <w:abstractNumId w:val="2"/>
  </w:num>
  <w:num w:numId="6">
    <w:abstractNumId w:val="5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E3MWU0MWIwZjhlYjQxYjdlZmFmZjQwYTE1MjgzNDAifQ=="/>
  </w:docVars>
  <w:rsids>
    <w:rsidRoot w:val="00000000"/>
    <w:rsid w:val="36810F67"/>
    <w:rsid w:val="4C5049A5"/>
    <w:rsid w:val="53047A8F"/>
    <w:rsid w:val="534A53A7"/>
    <w:rsid w:val="5E4E79C9"/>
    <w:rsid w:val="77620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autoRedefine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autoRedefine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autoRedefine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autoRedefine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autoRedefine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autoRedefine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autoRedefine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autoRedefine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autoRedefine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autoRedefine/>
    <w:unhideWhenUsed/>
    <w:qFormat/>
    <w:uiPriority w:val="1"/>
  </w:style>
  <w:style w:type="table" w:default="1" w:styleId="33">
    <w:name w:val="Normal Table"/>
    <w:autoRedefine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autoRedefine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autoRedefine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autoRedefine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autoRedefine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autoRedefine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autoRedefine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autoRedefine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autoRedefine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autoRedefine/>
    <w:unhideWhenUsed/>
    <w:qFormat/>
    <w:uiPriority w:val="99"/>
    <w:pPr>
      <w:spacing w:after="120"/>
    </w:pPr>
  </w:style>
  <w:style w:type="paragraph" w:styleId="20">
    <w:name w:val="List Number 3"/>
    <w:basedOn w:val="1"/>
    <w:autoRedefine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autoRedefine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autoRedefine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autoRedefine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autoRedefine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autoRedefine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autoRedefine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autoRedefine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autoRedefine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autoRedefine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autoRedefine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autoRedefine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autoRedefine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autoRedefine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autoRedefine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autoRedefine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autoRedefine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autoRedefine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autoRedefine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autoRedefine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autoRedefine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autoRedefine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autoRedefine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autoRedefine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autoRedefine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autoRedefine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autoRedefine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autoRedefine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autoRedefine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autoRedefine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autoRedefine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autoRedefine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autoRedefine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autoRedefine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autoRedefine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autoRedefine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autoRedefine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autoRedefine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autoRedefine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autoRedefine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autoRedefine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autoRedefine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autoRedefine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autoRedefine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autoRedefine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autoRedefine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autoRedefine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autoRedefine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autoRedefine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autoRedefine/>
    <w:qFormat/>
    <w:uiPriority w:val="22"/>
    <w:rPr>
      <w:b/>
      <w:bCs/>
    </w:rPr>
  </w:style>
  <w:style w:type="character" w:styleId="135">
    <w:name w:val="Emphasis"/>
    <w:basedOn w:val="133"/>
    <w:autoRedefine/>
    <w:qFormat/>
    <w:uiPriority w:val="20"/>
    <w:rPr>
      <w:i/>
      <w:iCs/>
    </w:rPr>
  </w:style>
  <w:style w:type="character" w:customStyle="1" w:styleId="136">
    <w:name w:val="Header Char"/>
    <w:basedOn w:val="133"/>
    <w:link w:val="25"/>
    <w:autoRedefine/>
    <w:qFormat/>
    <w:uiPriority w:val="99"/>
  </w:style>
  <w:style w:type="character" w:customStyle="1" w:styleId="137">
    <w:name w:val="Footer Char"/>
    <w:basedOn w:val="133"/>
    <w:link w:val="24"/>
    <w:autoRedefine/>
    <w:qFormat/>
    <w:uiPriority w:val="99"/>
  </w:style>
  <w:style w:type="paragraph" w:customStyle="1" w:styleId="138">
    <w:name w:val="No Spacing"/>
    <w:autoRedefine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autoRedefine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autoRedefine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autoRedefine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autoRedefine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autoRedefine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customStyle="1" w:styleId="144">
    <w:name w:val="List Paragraph"/>
    <w:basedOn w:val="1"/>
    <w:autoRedefine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autoRedefine/>
    <w:qFormat/>
    <w:uiPriority w:val="99"/>
  </w:style>
  <w:style w:type="character" w:customStyle="1" w:styleId="146">
    <w:name w:val="Body Text 2 Char"/>
    <w:basedOn w:val="133"/>
    <w:link w:val="28"/>
    <w:autoRedefine/>
    <w:qFormat/>
    <w:uiPriority w:val="99"/>
  </w:style>
  <w:style w:type="character" w:customStyle="1" w:styleId="147">
    <w:name w:val="Body Text 3 Char"/>
    <w:basedOn w:val="133"/>
    <w:link w:val="17"/>
    <w:autoRedefine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autoRedefine/>
    <w:qFormat/>
    <w:uiPriority w:val="99"/>
    <w:rPr>
      <w:rFonts w:ascii="Courier" w:hAnsi="Courier"/>
      <w:sz w:val="20"/>
      <w:szCs w:val="20"/>
    </w:rPr>
  </w:style>
  <w:style w:type="paragraph" w:customStyle="1" w:styleId="149">
    <w:name w:val="Quote"/>
    <w:basedOn w:val="1"/>
    <w:next w:val="1"/>
    <w:link w:val="150"/>
    <w:autoRedefine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autoRedefine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autoRedefine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autoRedefine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autoRedefine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autoRedefine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autoRedefine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autoRedefine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57">
    <w:name w:val="Intense Quote"/>
    <w:basedOn w:val="1"/>
    <w:next w:val="1"/>
    <w:link w:val="158"/>
    <w:autoRedefine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autoRedefine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autoRedefine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autoRedefine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autoRedefine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autoRedefine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autoRedefine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autoRedefine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163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这也是阎总</cp:lastModifiedBy>
  <dcterms:modified xsi:type="dcterms:W3CDTF">2026-09-02T05:55:06Z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AFF951D739BA483FA238ECA6623E5909_13</vt:lpwstr>
  </property>
</Properties>
</file>